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BB" w:rsidRDefault="00F23CF8" w:rsidP="00693933">
      <w:pPr>
        <w:spacing w:after="0"/>
        <w:jc w:val="center"/>
        <w:rPr>
          <w:rFonts w:ascii="Arial" w:hAnsi="Arial" w:cs="Arial"/>
          <w:b/>
          <w:sz w:val="28"/>
          <w:szCs w:val="24"/>
        </w:rPr>
      </w:pPr>
      <w:bookmarkStart w:id="0" w:name="_GoBack"/>
      <w:bookmarkEnd w:id="0"/>
      <w:r w:rsidRPr="0021247E">
        <w:rPr>
          <w:b/>
          <w:noProof/>
          <w:sz w:val="28"/>
          <w:szCs w:val="24"/>
        </w:rPr>
        <w:drawing>
          <wp:anchor distT="0" distB="0" distL="114300" distR="114300" simplePos="0" relativeHeight="251658240" behindDoc="1" locked="0" layoutInCell="1" allowOverlap="1" wp14:anchorId="70ABA64F" wp14:editId="04182488">
            <wp:simplePos x="0" y="0"/>
            <wp:positionH relativeFrom="margin">
              <wp:posOffset>5817235</wp:posOffset>
            </wp:positionH>
            <wp:positionV relativeFrom="margin">
              <wp:posOffset>-504825</wp:posOffset>
            </wp:positionV>
            <wp:extent cx="742950" cy="504825"/>
            <wp:effectExtent l="0" t="0" r="0" b="9525"/>
            <wp:wrapTight wrapText="bothSides">
              <wp:wrapPolygon edited="0">
                <wp:start x="0" y="0"/>
                <wp:lineTo x="0" y="21192"/>
                <wp:lineTo x="21046" y="21192"/>
                <wp:lineTo x="21046" y="0"/>
                <wp:lineTo x="0" y="0"/>
              </wp:wrapPolygon>
            </wp:wrapTight>
            <wp:docPr id="3" name="Picture 3"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r w:rsidR="002078BB">
        <w:rPr>
          <w:rFonts w:ascii="Arial" w:hAnsi="Arial" w:cs="Arial"/>
          <w:b/>
          <w:sz w:val="28"/>
          <w:szCs w:val="24"/>
        </w:rPr>
        <w:t>Prescribing Clinical Network</w:t>
      </w:r>
    </w:p>
    <w:p w:rsidR="007455C6" w:rsidRPr="007455C6" w:rsidRDefault="007455C6" w:rsidP="007455C6">
      <w:pPr>
        <w:pStyle w:val="Header"/>
        <w:jc w:val="center"/>
        <w:rPr>
          <w:rFonts w:ascii="Arial" w:hAnsi="Arial" w:cs="Arial"/>
          <w:sz w:val="20"/>
          <w:szCs w:val="20"/>
        </w:rPr>
      </w:pPr>
      <w:r w:rsidRPr="007455C6">
        <w:rPr>
          <w:rFonts w:ascii="Arial" w:hAnsi="Arial" w:cs="Arial"/>
          <w:b/>
          <w:sz w:val="20"/>
          <w:szCs w:val="20"/>
        </w:rPr>
        <w:t>Surrey (East Surrey CCG, Guildford &amp; Waverley CCG, North West Surrey CCG, Surrey Downs CCG &amp; Surrey Heath), Crawley CCG and Horsham &amp; Mid-Sussex CCG</w:t>
      </w:r>
    </w:p>
    <w:p w:rsidR="00F23CF8" w:rsidRPr="0021247E" w:rsidRDefault="00F23CF8" w:rsidP="007455C6">
      <w:pPr>
        <w:spacing w:after="0"/>
        <w:rPr>
          <w:rFonts w:ascii="Arial" w:eastAsiaTheme="minorHAnsi" w:hAnsi="Arial" w:cs="Arial"/>
          <w:b/>
          <w:sz w:val="14"/>
          <w:szCs w:val="28"/>
          <w:lang w:eastAsia="en-US"/>
        </w:rPr>
      </w:pPr>
    </w:p>
    <w:p w:rsidR="00FC2F8A" w:rsidRDefault="00535919" w:rsidP="00693933">
      <w:pPr>
        <w:spacing w:after="0"/>
        <w:jc w:val="center"/>
        <w:rPr>
          <w:rFonts w:ascii="Arial" w:hAnsi="Arial" w:cs="Arial"/>
          <w:b/>
          <w:sz w:val="24"/>
          <w:szCs w:val="24"/>
        </w:rPr>
      </w:pPr>
      <w:r w:rsidRPr="00F23CF8">
        <w:rPr>
          <w:rFonts w:ascii="Arial" w:hAnsi="Arial" w:cs="Arial"/>
          <w:b/>
          <w:sz w:val="24"/>
          <w:szCs w:val="24"/>
        </w:rPr>
        <w:t xml:space="preserve">Application for </w:t>
      </w:r>
      <w:r w:rsidR="00F23CF8" w:rsidRPr="00F23CF8">
        <w:rPr>
          <w:rFonts w:ascii="Arial" w:hAnsi="Arial" w:cs="Arial"/>
          <w:b/>
          <w:sz w:val="24"/>
          <w:szCs w:val="24"/>
        </w:rPr>
        <w:t>change</w:t>
      </w:r>
      <w:r w:rsidR="00FA7EA9">
        <w:rPr>
          <w:rFonts w:ascii="Arial" w:hAnsi="Arial" w:cs="Arial"/>
          <w:b/>
          <w:sz w:val="24"/>
          <w:szCs w:val="24"/>
        </w:rPr>
        <w:t xml:space="preserve"> in colour classification</w:t>
      </w:r>
      <w:r w:rsidR="00F23CF8" w:rsidRPr="00F23CF8">
        <w:rPr>
          <w:rFonts w:ascii="Arial" w:hAnsi="Arial" w:cs="Arial"/>
          <w:b/>
          <w:sz w:val="24"/>
          <w:szCs w:val="24"/>
        </w:rPr>
        <w:t xml:space="preserve"> </w:t>
      </w:r>
    </w:p>
    <w:p w:rsidR="0021247E" w:rsidRPr="0021247E" w:rsidRDefault="0021247E" w:rsidP="002078BB">
      <w:pPr>
        <w:spacing w:after="0"/>
        <w:rPr>
          <w:rFonts w:ascii="Arial" w:hAnsi="Arial" w:cs="Arial"/>
          <w:b/>
          <w:sz w:val="14"/>
          <w:szCs w:val="24"/>
        </w:rPr>
      </w:pPr>
    </w:p>
    <w:tbl>
      <w:tblPr>
        <w:tblStyle w:val="TableGrid"/>
        <w:tblW w:w="0" w:type="auto"/>
        <w:tblInd w:w="-7" w:type="dxa"/>
        <w:tblLook w:val="04A0" w:firstRow="1" w:lastRow="0" w:firstColumn="1" w:lastColumn="0" w:noHBand="0" w:noVBand="1"/>
      </w:tblPr>
      <w:tblGrid>
        <w:gridCol w:w="2382"/>
        <w:gridCol w:w="3967"/>
        <w:gridCol w:w="4340"/>
      </w:tblGrid>
      <w:tr w:rsidR="00693933" w:rsidRPr="00693933" w:rsidTr="0021247E">
        <w:trPr>
          <w:trHeight w:val="659"/>
        </w:trPr>
        <w:tc>
          <w:tcPr>
            <w:tcW w:w="10689" w:type="dxa"/>
            <w:gridSpan w:val="3"/>
            <w:shd w:val="clear" w:color="auto" w:fill="009900"/>
            <w:vAlign w:val="center"/>
          </w:tcPr>
          <w:p w:rsidR="00693933" w:rsidRPr="00693933" w:rsidRDefault="00693933" w:rsidP="0021247E">
            <w:pPr>
              <w:rPr>
                <w:rFonts w:ascii="Arial" w:hAnsi="Arial" w:cs="Arial"/>
                <w:color w:val="FFFFFF" w:themeColor="background1"/>
                <w:szCs w:val="24"/>
              </w:rPr>
            </w:pPr>
            <w:r w:rsidRPr="00693933">
              <w:rPr>
                <w:rFonts w:ascii="Arial" w:hAnsi="Arial" w:cs="Arial"/>
                <w:b/>
                <w:color w:val="FFFFFF" w:themeColor="background1"/>
                <w:szCs w:val="24"/>
              </w:rPr>
              <w:t>GREEN -</w:t>
            </w:r>
            <w:r w:rsidRPr="00693933">
              <w:rPr>
                <w:rFonts w:ascii="Arial" w:hAnsi="Arial" w:cs="Arial"/>
                <w:color w:val="FFFFFF" w:themeColor="background1"/>
                <w:szCs w:val="24"/>
              </w:rPr>
              <w:t xml:space="preserve"> </w:t>
            </w:r>
            <w:r w:rsidRPr="00693933">
              <w:rPr>
                <w:rFonts w:ascii="Arial" w:hAnsi="Arial" w:cs="Arial"/>
                <w:b/>
                <w:color w:val="FFFFFF" w:themeColor="background1"/>
                <w:szCs w:val="24"/>
              </w:rPr>
              <w:t>Non-Specialist Drugs</w:t>
            </w:r>
          </w:p>
          <w:p w:rsidR="00693933" w:rsidRPr="00693933" w:rsidRDefault="005C08B0" w:rsidP="0021247E">
            <w:pPr>
              <w:rPr>
                <w:rFonts w:ascii="Arial" w:hAnsi="Arial" w:cs="Arial"/>
                <w:color w:val="FFFFFF" w:themeColor="background1"/>
                <w:szCs w:val="24"/>
              </w:rPr>
            </w:pPr>
            <w:r w:rsidRPr="005C08B0">
              <w:rPr>
                <w:rFonts w:ascii="Arial" w:hAnsi="Arial" w:cs="Arial"/>
                <w:color w:val="FFFFFF" w:themeColor="background1"/>
                <w:sz w:val="20"/>
                <w:szCs w:val="24"/>
                <w:lang w:val="en-US"/>
              </w:rPr>
              <w:t>GPs (or non-medical prescribers in primary care) are able to take full responsibility for initiation and continuation of prescribing</w:t>
            </w:r>
          </w:p>
        </w:tc>
      </w:tr>
      <w:tr w:rsidR="00693933" w:rsidRPr="00693933" w:rsidTr="00213AB7">
        <w:trPr>
          <w:trHeight w:val="791"/>
        </w:trPr>
        <w:tc>
          <w:tcPr>
            <w:tcW w:w="10689" w:type="dxa"/>
            <w:gridSpan w:val="3"/>
            <w:shd w:val="clear" w:color="auto" w:fill="3333FF"/>
            <w:vAlign w:val="center"/>
          </w:tcPr>
          <w:p w:rsidR="00693933" w:rsidRPr="00693933" w:rsidRDefault="00693933" w:rsidP="0021247E">
            <w:pPr>
              <w:rPr>
                <w:rFonts w:ascii="Arial" w:hAnsi="Arial" w:cs="Arial"/>
                <w:b/>
                <w:color w:val="FFFFFF" w:themeColor="background1"/>
                <w:szCs w:val="24"/>
              </w:rPr>
            </w:pPr>
            <w:r w:rsidRPr="00693933">
              <w:rPr>
                <w:rFonts w:ascii="Arial" w:hAnsi="Arial" w:cs="Arial"/>
                <w:b/>
                <w:color w:val="FFFFFF" w:themeColor="background1"/>
                <w:szCs w:val="24"/>
              </w:rPr>
              <w:t xml:space="preserve">BLUE - Specialist </w:t>
            </w:r>
            <w:r w:rsidR="005C08B0">
              <w:rPr>
                <w:rFonts w:ascii="Arial" w:hAnsi="Arial" w:cs="Arial"/>
                <w:b/>
                <w:color w:val="FFFFFF" w:themeColor="background1"/>
                <w:szCs w:val="24"/>
              </w:rPr>
              <w:t xml:space="preserve">Input </w:t>
            </w:r>
            <w:r w:rsidRPr="00693933">
              <w:rPr>
                <w:rFonts w:ascii="Arial" w:hAnsi="Arial" w:cs="Arial"/>
                <w:b/>
                <w:color w:val="FFFFFF" w:themeColor="background1"/>
                <w:szCs w:val="24"/>
              </w:rPr>
              <w:t xml:space="preserve">WITHOUT </w:t>
            </w:r>
            <w:r w:rsidR="005C08B0">
              <w:rPr>
                <w:rFonts w:ascii="Arial" w:hAnsi="Arial" w:cs="Arial"/>
                <w:b/>
                <w:color w:val="FFFFFF" w:themeColor="background1"/>
                <w:szCs w:val="24"/>
              </w:rPr>
              <w:t xml:space="preserve">Formal </w:t>
            </w:r>
            <w:r w:rsidRPr="00693933">
              <w:rPr>
                <w:rFonts w:ascii="Arial" w:hAnsi="Arial" w:cs="Arial"/>
                <w:b/>
                <w:color w:val="FFFFFF" w:themeColor="background1"/>
                <w:szCs w:val="24"/>
              </w:rPr>
              <w:t xml:space="preserve">Shared Care </w:t>
            </w:r>
            <w:r w:rsidR="005C08B0">
              <w:rPr>
                <w:rFonts w:ascii="Arial" w:hAnsi="Arial" w:cs="Arial"/>
                <w:b/>
                <w:color w:val="FFFFFF" w:themeColor="background1"/>
                <w:szCs w:val="24"/>
              </w:rPr>
              <w:t>Agreement</w:t>
            </w:r>
          </w:p>
          <w:p w:rsidR="00693933" w:rsidRPr="005C2C29" w:rsidRDefault="005C2C29" w:rsidP="0021247E">
            <w:pPr>
              <w:rPr>
                <w:rFonts w:ascii="Arial" w:hAnsi="Arial" w:cs="Arial"/>
                <w:color w:val="FFFFFF" w:themeColor="background1"/>
                <w:sz w:val="20"/>
                <w:szCs w:val="20"/>
              </w:rPr>
            </w:pPr>
            <w:r w:rsidRPr="005C2C29">
              <w:rPr>
                <w:rFonts w:ascii="Arial" w:hAnsi="Arial" w:cs="Arial"/>
                <w:color w:val="FFFFFF" w:themeColor="background1"/>
                <w:sz w:val="20"/>
                <w:szCs w:val="20"/>
              </w:rPr>
              <w:t>Prescribing initiated and stabilised by specialist but has potential to transfer to primary care WITHOUT a formal shared care agreement</w:t>
            </w:r>
          </w:p>
        </w:tc>
      </w:tr>
      <w:tr w:rsidR="00693933" w:rsidRPr="00693933" w:rsidTr="00213AB7">
        <w:trPr>
          <w:trHeight w:val="845"/>
        </w:trPr>
        <w:tc>
          <w:tcPr>
            <w:tcW w:w="10689" w:type="dxa"/>
            <w:gridSpan w:val="3"/>
            <w:shd w:val="clear" w:color="auto" w:fill="FFCC00"/>
            <w:vAlign w:val="center"/>
          </w:tcPr>
          <w:p w:rsidR="00693933" w:rsidRPr="00693933" w:rsidRDefault="00693933" w:rsidP="0021247E">
            <w:pPr>
              <w:rPr>
                <w:rFonts w:ascii="Arial" w:hAnsi="Arial" w:cs="Arial"/>
                <w:b/>
                <w:szCs w:val="24"/>
              </w:rPr>
            </w:pPr>
            <w:r w:rsidRPr="00693933">
              <w:rPr>
                <w:rFonts w:ascii="Arial" w:hAnsi="Arial" w:cs="Arial"/>
                <w:b/>
                <w:szCs w:val="24"/>
              </w:rPr>
              <w:t>AMBER - Specialist Initiation WITH Shared Care Guidelines</w:t>
            </w:r>
          </w:p>
          <w:p w:rsidR="00693933" w:rsidRPr="00693933" w:rsidRDefault="00213AB7" w:rsidP="0021247E">
            <w:pPr>
              <w:rPr>
                <w:rFonts w:ascii="Arial" w:hAnsi="Arial" w:cs="Arial"/>
                <w:szCs w:val="24"/>
              </w:rPr>
            </w:pPr>
            <w:r w:rsidRPr="00213AB7">
              <w:rPr>
                <w:rFonts w:ascii="Arial" w:hAnsi="Arial" w:cs="Arial"/>
                <w:sz w:val="20"/>
                <w:szCs w:val="24"/>
              </w:rPr>
              <w:t>Prescribing initiated and stabilised by specialist but has potential to transfer to primary care under a formal shared care agreement</w:t>
            </w:r>
          </w:p>
        </w:tc>
      </w:tr>
      <w:tr w:rsidR="00693933" w:rsidRPr="00693933" w:rsidTr="00213AB7">
        <w:trPr>
          <w:trHeight w:val="688"/>
        </w:trPr>
        <w:tc>
          <w:tcPr>
            <w:tcW w:w="10689" w:type="dxa"/>
            <w:gridSpan w:val="3"/>
            <w:shd w:val="clear" w:color="auto" w:fill="FF0000"/>
            <w:vAlign w:val="center"/>
          </w:tcPr>
          <w:p w:rsidR="00693933" w:rsidRPr="00693933" w:rsidRDefault="00693933" w:rsidP="0021247E">
            <w:pPr>
              <w:rPr>
                <w:rFonts w:ascii="Arial" w:hAnsi="Arial" w:cs="Arial"/>
                <w:b/>
                <w:szCs w:val="24"/>
              </w:rPr>
            </w:pPr>
            <w:r w:rsidRPr="00693933">
              <w:rPr>
                <w:rFonts w:ascii="Arial" w:hAnsi="Arial" w:cs="Arial"/>
                <w:b/>
                <w:szCs w:val="24"/>
              </w:rPr>
              <w:t>RED - Specialist ONLY drugs</w:t>
            </w:r>
          </w:p>
          <w:p w:rsidR="00693933" w:rsidRPr="00693933" w:rsidRDefault="00213AB7" w:rsidP="0021247E">
            <w:pPr>
              <w:rPr>
                <w:rFonts w:ascii="Arial" w:hAnsi="Arial" w:cs="Arial"/>
                <w:szCs w:val="24"/>
              </w:rPr>
            </w:pPr>
            <w:r w:rsidRPr="00213AB7">
              <w:rPr>
                <w:rFonts w:ascii="Arial" w:hAnsi="Arial" w:cs="Arial"/>
                <w:sz w:val="20"/>
                <w:szCs w:val="24"/>
              </w:rPr>
              <w:t>Treatment initiated and continued by specialist clinicians</w:t>
            </w:r>
          </w:p>
        </w:tc>
      </w:tr>
      <w:tr w:rsidR="00693933" w:rsidRPr="00693933" w:rsidTr="0021247E">
        <w:trPr>
          <w:trHeight w:val="843"/>
        </w:trPr>
        <w:tc>
          <w:tcPr>
            <w:tcW w:w="10689" w:type="dxa"/>
            <w:gridSpan w:val="3"/>
            <w:shd w:val="clear" w:color="auto" w:fill="000000" w:themeFill="text1"/>
            <w:vAlign w:val="center"/>
          </w:tcPr>
          <w:p w:rsidR="00693933" w:rsidRPr="00693933" w:rsidRDefault="00213AB7" w:rsidP="0021247E">
            <w:pPr>
              <w:rPr>
                <w:rFonts w:ascii="Arial" w:hAnsi="Arial" w:cs="Arial"/>
                <w:b/>
                <w:szCs w:val="24"/>
              </w:rPr>
            </w:pPr>
            <w:r>
              <w:rPr>
                <w:rFonts w:ascii="Arial" w:hAnsi="Arial" w:cs="Arial"/>
                <w:b/>
                <w:szCs w:val="24"/>
              </w:rPr>
              <w:t>BLACK – NOT recommended</w:t>
            </w:r>
          </w:p>
          <w:p w:rsidR="00693933" w:rsidRPr="00213AB7" w:rsidRDefault="00213AB7" w:rsidP="0021247E">
            <w:pPr>
              <w:rPr>
                <w:rFonts w:ascii="Arial" w:hAnsi="Arial" w:cs="Arial"/>
                <w:sz w:val="20"/>
                <w:szCs w:val="24"/>
              </w:rPr>
            </w:pPr>
            <w:r w:rsidRPr="00213AB7">
              <w:rPr>
                <w:rFonts w:ascii="Arial" w:hAnsi="Arial" w:cs="Arial"/>
                <w:sz w:val="20"/>
                <w:szCs w:val="24"/>
              </w:rPr>
              <w:t>Not recommended for use in any health setting across Surrey and NW Sussex health economy</w:t>
            </w:r>
          </w:p>
        </w:tc>
      </w:tr>
      <w:tr w:rsidR="0021247E" w:rsidRPr="0045698F" w:rsidTr="00AB6BE4">
        <w:trPr>
          <w:trHeight w:val="454"/>
        </w:trPr>
        <w:tc>
          <w:tcPr>
            <w:tcW w:w="10689" w:type="dxa"/>
            <w:gridSpan w:val="3"/>
            <w:shd w:val="clear" w:color="auto" w:fill="F2F2F2" w:themeFill="background1" w:themeFillShade="F2"/>
            <w:vAlign w:val="center"/>
          </w:tcPr>
          <w:p w:rsidR="0021247E" w:rsidRPr="0045698F" w:rsidRDefault="0021247E" w:rsidP="0021247E">
            <w:pPr>
              <w:jc w:val="center"/>
              <w:rPr>
                <w:rFonts w:ascii="Arial" w:hAnsi="Arial" w:cs="Arial"/>
                <w:b/>
                <w:sz w:val="28"/>
                <w:szCs w:val="28"/>
              </w:rPr>
            </w:pPr>
            <w:r w:rsidRPr="0045698F">
              <w:rPr>
                <w:rFonts w:ascii="Arial" w:hAnsi="Arial" w:cs="Arial"/>
                <w:b/>
                <w:sz w:val="28"/>
                <w:szCs w:val="28"/>
              </w:rPr>
              <w:t>Medicine details</w:t>
            </w:r>
          </w:p>
        </w:tc>
      </w:tr>
      <w:tr w:rsidR="00C83E2A" w:rsidTr="00E9018C">
        <w:trPr>
          <w:trHeight w:val="765"/>
        </w:trPr>
        <w:tc>
          <w:tcPr>
            <w:tcW w:w="2382" w:type="dxa"/>
            <w:tcBorders>
              <w:bottom w:val="single" w:sz="4" w:space="0" w:color="auto"/>
            </w:tcBorders>
            <w:shd w:val="clear" w:color="auto" w:fill="F2F2F2" w:themeFill="background1" w:themeFillShade="F2"/>
            <w:vAlign w:val="center"/>
          </w:tcPr>
          <w:p w:rsidR="00C83E2A" w:rsidRPr="00094502" w:rsidRDefault="005D5AD0" w:rsidP="005865F3">
            <w:pPr>
              <w:rPr>
                <w:rFonts w:ascii="Arial" w:hAnsi="Arial" w:cs="Arial"/>
                <w:b/>
                <w:vertAlign w:val="superscript"/>
              </w:rPr>
            </w:pPr>
            <w:r>
              <w:rPr>
                <w:rFonts w:ascii="Arial" w:hAnsi="Arial" w:cs="Arial"/>
                <w:b/>
              </w:rPr>
              <w:t>Name, brand name</w:t>
            </w:r>
            <w:r>
              <w:rPr>
                <w:rFonts w:ascii="Arial" w:hAnsi="Arial" w:cs="Arial"/>
                <w:b/>
                <w:vertAlign w:val="superscript"/>
              </w:rPr>
              <w:t>1</w:t>
            </w:r>
          </w:p>
        </w:tc>
        <w:tc>
          <w:tcPr>
            <w:tcW w:w="8307" w:type="dxa"/>
            <w:gridSpan w:val="2"/>
          </w:tcPr>
          <w:p w:rsidR="005D5AD0" w:rsidRPr="005D5AD0" w:rsidRDefault="00133C30" w:rsidP="005D5AD0">
            <w:pPr>
              <w:pStyle w:val="ListParagraph"/>
              <w:numPr>
                <w:ilvl w:val="0"/>
                <w:numId w:val="6"/>
              </w:numPr>
              <w:spacing w:after="360"/>
              <w:ind w:left="360"/>
              <w:outlineLvl w:val="3"/>
              <w:rPr>
                <w:rFonts w:ascii="Arial" w:hAnsi="Arial" w:cs="Arial"/>
              </w:rPr>
            </w:pPr>
            <w:r w:rsidRPr="005D5AD0">
              <w:rPr>
                <w:rFonts w:ascii="Arial" w:eastAsia="Times New Roman" w:hAnsi="Arial" w:cs="Arial"/>
                <w:b/>
                <w:bCs/>
              </w:rPr>
              <w:t>Celecoxib -</w:t>
            </w:r>
            <w:r w:rsidR="00094502" w:rsidRPr="005D5AD0">
              <w:rPr>
                <w:rFonts w:ascii="Arial" w:eastAsia="Times New Roman" w:hAnsi="Arial" w:cs="Arial"/>
                <w:b/>
                <w:bCs/>
              </w:rPr>
              <w:t xml:space="preserve"> Celebrex</w:t>
            </w:r>
            <w:r w:rsidR="007327D0" w:rsidRPr="005D5AD0">
              <w:rPr>
                <w:rFonts w:ascii="Arial" w:eastAsia="Times New Roman" w:hAnsi="Arial" w:cs="Arial"/>
                <w:b/>
                <w:bCs/>
              </w:rPr>
              <w:t>®</w:t>
            </w:r>
          </w:p>
          <w:p w:rsidR="005D5AD0" w:rsidRPr="005D5AD0" w:rsidRDefault="00094502" w:rsidP="005D5AD0">
            <w:pPr>
              <w:pStyle w:val="ListParagraph"/>
              <w:numPr>
                <w:ilvl w:val="0"/>
                <w:numId w:val="6"/>
              </w:numPr>
              <w:ind w:left="360"/>
              <w:outlineLvl w:val="3"/>
              <w:rPr>
                <w:rFonts w:ascii="Arial" w:hAnsi="Arial" w:cs="Arial"/>
              </w:rPr>
            </w:pPr>
            <w:r w:rsidRPr="005D5AD0">
              <w:rPr>
                <w:rFonts w:ascii="Arial" w:eastAsia="Times New Roman" w:hAnsi="Arial" w:cs="Arial"/>
                <w:b/>
                <w:bCs/>
              </w:rPr>
              <w:t xml:space="preserve">Etoricoxib - </w:t>
            </w:r>
            <w:hyperlink r:id="rId9" w:anchor="PHP6449" w:tooltip="Arcoxia®" w:history="1">
              <w:r w:rsidRPr="005D5AD0">
                <w:rPr>
                  <w:rFonts w:ascii="Arial" w:eastAsia="Times New Roman" w:hAnsi="Arial" w:cs="Arial"/>
                  <w:b/>
                  <w:bCs/>
                </w:rPr>
                <w:t>Arcoxia®</w:t>
              </w:r>
            </w:hyperlink>
            <w:r w:rsidRPr="005D5AD0">
              <w:rPr>
                <w:rFonts w:ascii="Arial" w:eastAsia="Times New Roman" w:hAnsi="Arial" w:cs="Arial"/>
                <w:b/>
                <w:bCs/>
              </w:rPr>
              <w:t xml:space="preserve"> </w:t>
            </w:r>
          </w:p>
          <w:p w:rsidR="00E9018C" w:rsidRPr="005D5AD0" w:rsidRDefault="007327D0" w:rsidP="00E9018C">
            <w:pPr>
              <w:outlineLvl w:val="3"/>
              <w:rPr>
                <w:rFonts w:ascii="Arial" w:hAnsi="Arial" w:cs="Arial"/>
              </w:rPr>
            </w:pPr>
            <w:r w:rsidRPr="005D5AD0">
              <w:rPr>
                <w:rFonts w:ascii="Arial" w:eastAsia="Times New Roman" w:hAnsi="Arial" w:cs="Arial"/>
                <w:bCs/>
              </w:rPr>
              <w:t>Generics of both are available</w:t>
            </w:r>
            <w:r w:rsidR="00133C30" w:rsidRPr="005D5AD0">
              <w:rPr>
                <w:rFonts w:ascii="Arial" w:eastAsia="Times New Roman" w:hAnsi="Arial" w:cs="Arial"/>
                <w:bCs/>
              </w:rPr>
              <w:t>.</w:t>
            </w:r>
          </w:p>
        </w:tc>
      </w:tr>
      <w:tr w:rsidR="00C83E2A" w:rsidTr="0048749A">
        <w:trPr>
          <w:trHeight w:val="562"/>
        </w:trPr>
        <w:tc>
          <w:tcPr>
            <w:tcW w:w="2382" w:type="dxa"/>
            <w:tcBorders>
              <w:bottom w:val="single" w:sz="4" w:space="0" w:color="auto"/>
            </w:tcBorders>
            <w:shd w:val="clear" w:color="auto" w:fill="F2F2F2" w:themeFill="background1" w:themeFillShade="F2"/>
            <w:vAlign w:val="center"/>
          </w:tcPr>
          <w:p w:rsidR="00C83E2A" w:rsidRPr="00094502" w:rsidRDefault="00C83E2A" w:rsidP="005865F3">
            <w:pPr>
              <w:rPr>
                <w:rFonts w:ascii="Arial" w:hAnsi="Arial" w:cs="Arial"/>
                <w:b/>
                <w:vertAlign w:val="superscript"/>
              </w:rPr>
            </w:pPr>
            <w:r>
              <w:rPr>
                <w:rFonts w:ascii="Arial" w:hAnsi="Arial" w:cs="Arial"/>
                <w:b/>
              </w:rPr>
              <w:t>M</w:t>
            </w:r>
            <w:r w:rsidRPr="00674B8B">
              <w:rPr>
                <w:rFonts w:ascii="Arial" w:hAnsi="Arial" w:cs="Arial"/>
                <w:b/>
              </w:rPr>
              <w:t>anufacturer</w:t>
            </w:r>
            <w:r w:rsidR="00094502">
              <w:rPr>
                <w:rFonts w:ascii="Arial" w:hAnsi="Arial" w:cs="Arial"/>
                <w:b/>
                <w:vertAlign w:val="superscript"/>
              </w:rPr>
              <w:t>1</w:t>
            </w:r>
          </w:p>
        </w:tc>
        <w:tc>
          <w:tcPr>
            <w:tcW w:w="8307" w:type="dxa"/>
            <w:gridSpan w:val="2"/>
          </w:tcPr>
          <w:p w:rsidR="005D5AD0" w:rsidRPr="005D5AD0" w:rsidRDefault="00094502" w:rsidP="005D5AD0">
            <w:pPr>
              <w:numPr>
                <w:ilvl w:val="0"/>
                <w:numId w:val="7"/>
              </w:numPr>
              <w:outlineLvl w:val="3"/>
              <w:rPr>
                <w:rFonts w:ascii="Arial" w:hAnsi="Arial" w:cs="Arial"/>
              </w:rPr>
            </w:pPr>
            <w:r w:rsidRPr="00094502">
              <w:rPr>
                <w:rFonts w:ascii="Arial" w:eastAsia="Times New Roman" w:hAnsi="Arial" w:cs="Arial"/>
                <w:b/>
                <w:bCs/>
              </w:rPr>
              <w:t xml:space="preserve">Celecoxib - </w:t>
            </w:r>
            <w:hyperlink r:id="rId10" w:anchor="PHP6416" w:tooltip="Celebrex®" w:history="1">
              <w:r w:rsidRPr="00094502">
                <w:rPr>
                  <w:rFonts w:ascii="Arial" w:eastAsia="Times New Roman" w:hAnsi="Arial" w:cs="Arial"/>
                  <w:b/>
                  <w:bCs/>
                </w:rPr>
                <w:t>Celebrex®</w:t>
              </w:r>
            </w:hyperlink>
            <w:r w:rsidR="00C55B1F">
              <w:rPr>
                <w:rFonts w:ascii="Arial" w:eastAsia="Times New Roman" w:hAnsi="Arial" w:cs="Arial"/>
                <w:b/>
                <w:bCs/>
              </w:rPr>
              <w:t xml:space="preserve"> (Pfizer</w:t>
            </w:r>
            <w:r w:rsidRPr="00094502">
              <w:rPr>
                <w:rFonts w:ascii="Arial" w:eastAsia="Times New Roman" w:hAnsi="Arial" w:cs="Arial"/>
                <w:b/>
                <w:bCs/>
              </w:rPr>
              <w:t xml:space="preserve">) </w:t>
            </w:r>
          </w:p>
          <w:p w:rsidR="00C83E2A" w:rsidRPr="002908FF" w:rsidRDefault="005D5AD0" w:rsidP="005D5AD0">
            <w:pPr>
              <w:numPr>
                <w:ilvl w:val="0"/>
                <w:numId w:val="7"/>
              </w:numPr>
              <w:outlineLvl w:val="3"/>
              <w:rPr>
                <w:rFonts w:ascii="Arial" w:hAnsi="Arial" w:cs="Arial"/>
              </w:rPr>
            </w:pPr>
            <w:r>
              <w:rPr>
                <w:rFonts w:ascii="Arial" w:eastAsia="Times New Roman" w:hAnsi="Arial" w:cs="Arial"/>
                <w:b/>
                <w:bCs/>
              </w:rPr>
              <w:t>E</w:t>
            </w:r>
            <w:r w:rsidR="00094502" w:rsidRPr="00094502">
              <w:rPr>
                <w:rFonts w:ascii="Arial" w:eastAsia="Times New Roman" w:hAnsi="Arial" w:cs="Arial"/>
                <w:b/>
                <w:bCs/>
              </w:rPr>
              <w:t xml:space="preserve">toricoxib - </w:t>
            </w:r>
            <w:hyperlink r:id="rId11" w:anchor="PHP6449" w:tooltip="Arcoxia®" w:history="1">
              <w:r w:rsidR="00094502" w:rsidRPr="00094502">
                <w:rPr>
                  <w:rFonts w:ascii="Arial" w:eastAsia="Times New Roman" w:hAnsi="Arial" w:cs="Arial"/>
                  <w:b/>
                  <w:bCs/>
                </w:rPr>
                <w:t>Arcoxia®</w:t>
              </w:r>
            </w:hyperlink>
            <w:r w:rsidR="00094502" w:rsidRPr="00094502">
              <w:rPr>
                <w:rFonts w:ascii="Arial" w:eastAsia="Times New Roman" w:hAnsi="Arial" w:cs="Arial"/>
                <w:b/>
                <w:bCs/>
              </w:rPr>
              <w:t xml:space="preserve"> (</w:t>
            </w:r>
            <w:hyperlink r:id="rId12" w:anchor="PHP10248" w:tooltip="MSD" w:history="1">
              <w:r w:rsidR="00094502" w:rsidRPr="00094502">
                <w:rPr>
                  <w:rFonts w:ascii="Arial" w:eastAsia="Times New Roman" w:hAnsi="Arial" w:cs="Arial"/>
                  <w:b/>
                  <w:bCs/>
                </w:rPr>
                <w:t>MSD</w:t>
              </w:r>
            </w:hyperlink>
            <w:r w:rsidR="00094502" w:rsidRPr="00094502">
              <w:rPr>
                <w:rFonts w:ascii="Arial" w:eastAsia="Times New Roman" w:hAnsi="Arial" w:cs="Arial"/>
                <w:b/>
                <w:bCs/>
              </w:rPr>
              <w:t xml:space="preserve">) </w:t>
            </w:r>
          </w:p>
          <w:p w:rsidR="00E9018C" w:rsidRPr="002908FF" w:rsidRDefault="002908FF" w:rsidP="00E9018C">
            <w:pPr>
              <w:outlineLvl w:val="3"/>
              <w:rPr>
                <w:rFonts w:ascii="Arial" w:hAnsi="Arial" w:cs="Arial"/>
              </w:rPr>
            </w:pPr>
            <w:r w:rsidRPr="002908FF">
              <w:rPr>
                <w:rFonts w:ascii="Arial" w:eastAsia="Times New Roman" w:hAnsi="Arial" w:cs="Arial"/>
                <w:bCs/>
              </w:rPr>
              <w:t>Numerous generic manufacturers.</w:t>
            </w:r>
          </w:p>
        </w:tc>
      </w:tr>
      <w:tr w:rsidR="00C83E2A" w:rsidTr="0048749A">
        <w:trPr>
          <w:trHeight w:val="562"/>
        </w:trPr>
        <w:tc>
          <w:tcPr>
            <w:tcW w:w="2382" w:type="dxa"/>
            <w:tcBorders>
              <w:bottom w:val="single" w:sz="4" w:space="0" w:color="auto"/>
            </w:tcBorders>
            <w:shd w:val="clear" w:color="auto" w:fill="F2F2F2" w:themeFill="background1" w:themeFillShade="F2"/>
            <w:vAlign w:val="center"/>
          </w:tcPr>
          <w:p w:rsidR="00C83E2A" w:rsidRPr="003143FB" w:rsidRDefault="00C83E2A" w:rsidP="005865F3">
            <w:pPr>
              <w:rPr>
                <w:rFonts w:ascii="Arial" w:hAnsi="Arial" w:cs="Arial"/>
                <w:b/>
                <w:vertAlign w:val="superscript"/>
              </w:rPr>
            </w:pPr>
            <w:r>
              <w:rPr>
                <w:rFonts w:ascii="Arial" w:hAnsi="Arial" w:cs="Arial"/>
                <w:b/>
              </w:rPr>
              <w:t>Licensed</w:t>
            </w:r>
            <w:r w:rsidRPr="002908FF">
              <w:rPr>
                <w:rFonts w:ascii="Arial" w:hAnsi="Arial" w:cs="Arial"/>
                <w:b/>
              </w:rPr>
              <w:t xml:space="preserve"> </w:t>
            </w:r>
            <w:r w:rsidR="002908FF">
              <w:rPr>
                <w:rFonts w:ascii="Arial" w:hAnsi="Arial" w:cs="Arial"/>
                <w:b/>
              </w:rPr>
              <w:t xml:space="preserve"> </w:t>
            </w:r>
            <w:r w:rsidRPr="002908FF">
              <w:rPr>
                <w:rFonts w:ascii="Arial" w:hAnsi="Arial" w:cs="Arial"/>
                <w:b/>
              </w:rPr>
              <w:t>indication</w:t>
            </w:r>
            <w:r w:rsidR="003143FB">
              <w:rPr>
                <w:rFonts w:ascii="Arial" w:hAnsi="Arial" w:cs="Arial"/>
                <w:b/>
                <w:vertAlign w:val="superscript"/>
              </w:rPr>
              <w:t>1</w:t>
            </w:r>
          </w:p>
        </w:tc>
        <w:tc>
          <w:tcPr>
            <w:tcW w:w="8307" w:type="dxa"/>
            <w:gridSpan w:val="2"/>
          </w:tcPr>
          <w:p w:rsidR="007327D0" w:rsidRPr="007327D0" w:rsidRDefault="007327D0" w:rsidP="00EB0E10">
            <w:pPr>
              <w:numPr>
                <w:ilvl w:val="0"/>
                <w:numId w:val="7"/>
              </w:numPr>
              <w:shd w:val="clear" w:color="auto" w:fill="FFFFFF"/>
              <w:outlineLvl w:val="3"/>
              <w:rPr>
                <w:rFonts w:ascii="Arial" w:eastAsia="Times New Roman" w:hAnsi="Arial" w:cs="Arial"/>
                <w:color w:val="000000"/>
                <w:sz w:val="20"/>
                <w:szCs w:val="20"/>
                <w:lang w:val="en"/>
              </w:rPr>
            </w:pPr>
            <w:r w:rsidRPr="007327D0">
              <w:rPr>
                <w:rFonts w:ascii="Arial" w:eastAsia="Times New Roman" w:hAnsi="Arial" w:cs="Arial"/>
                <w:b/>
                <w:bCs/>
              </w:rPr>
              <w:t xml:space="preserve">Celecoxib - </w:t>
            </w:r>
            <w:hyperlink r:id="rId13" w:anchor="PHP6416" w:tooltip="Celebrex®" w:history="1">
              <w:r w:rsidRPr="007327D0">
                <w:rPr>
                  <w:rFonts w:ascii="Arial" w:eastAsia="Times New Roman" w:hAnsi="Arial" w:cs="Arial"/>
                  <w:b/>
                  <w:bCs/>
                </w:rPr>
                <w:t>Celebrex®</w:t>
              </w:r>
            </w:hyperlink>
            <w:r w:rsidRPr="00094502">
              <w:rPr>
                <w:rFonts w:ascii="Arial" w:eastAsia="Times New Roman" w:hAnsi="Arial" w:cs="Arial"/>
                <w:b/>
                <w:bCs/>
              </w:rPr>
              <w:t xml:space="preserve"> </w:t>
            </w:r>
          </w:p>
          <w:p w:rsidR="007327D0" w:rsidRDefault="007327D0" w:rsidP="00EB0E10">
            <w:pPr>
              <w:shd w:val="clear" w:color="auto" w:fill="FFFFFF"/>
              <w:outlineLvl w:val="3"/>
              <w:rPr>
                <w:rFonts w:ascii="Arial" w:eastAsia="Times New Roman" w:hAnsi="Arial" w:cs="Arial"/>
                <w:color w:val="000000"/>
                <w:lang w:val="en"/>
              </w:rPr>
            </w:pPr>
            <w:r w:rsidRPr="007327D0">
              <w:rPr>
                <w:rFonts w:ascii="Arial" w:eastAsia="Times New Roman" w:hAnsi="Arial" w:cs="Arial"/>
                <w:color w:val="000000"/>
                <w:lang w:val="en"/>
              </w:rPr>
              <w:t>Celebrex is indicated in adults for the symptomatic relief in t</w:t>
            </w:r>
            <w:r>
              <w:rPr>
                <w:rFonts w:ascii="Arial" w:eastAsia="Times New Roman" w:hAnsi="Arial" w:cs="Arial"/>
                <w:color w:val="000000"/>
                <w:lang w:val="en"/>
              </w:rPr>
              <w:t>he treatment of osteoarthritis,</w:t>
            </w:r>
            <w:r w:rsidRPr="007327D0">
              <w:rPr>
                <w:rFonts w:ascii="Arial" w:eastAsia="Times New Roman" w:hAnsi="Arial" w:cs="Arial"/>
                <w:color w:val="000000"/>
                <w:lang w:val="en"/>
              </w:rPr>
              <w:t xml:space="preserve"> rheumatoid arthritis and ankylosing spondylitis.</w:t>
            </w:r>
          </w:p>
          <w:p w:rsidR="00EB0E10" w:rsidRPr="007327D0" w:rsidRDefault="00EB0E10" w:rsidP="00EB0E10">
            <w:pPr>
              <w:shd w:val="clear" w:color="auto" w:fill="FFFFFF"/>
              <w:outlineLvl w:val="3"/>
              <w:rPr>
                <w:rFonts w:ascii="Arial" w:eastAsia="Times New Roman" w:hAnsi="Arial" w:cs="Arial"/>
                <w:color w:val="000000"/>
                <w:lang w:val="en"/>
              </w:rPr>
            </w:pPr>
          </w:p>
          <w:p w:rsidR="007327D0" w:rsidRPr="00D606DA" w:rsidRDefault="007327D0" w:rsidP="00EB0E10">
            <w:pPr>
              <w:pStyle w:val="ListParagraph"/>
              <w:numPr>
                <w:ilvl w:val="0"/>
                <w:numId w:val="7"/>
              </w:numPr>
              <w:rPr>
                <w:rFonts w:ascii="Arial" w:hAnsi="Arial" w:cs="Arial"/>
              </w:rPr>
            </w:pPr>
            <w:r w:rsidRPr="007327D0">
              <w:rPr>
                <w:rFonts w:ascii="Arial" w:eastAsia="Times New Roman" w:hAnsi="Arial" w:cs="Arial"/>
                <w:b/>
                <w:bCs/>
              </w:rPr>
              <w:t xml:space="preserve">Etoricoxib - </w:t>
            </w:r>
            <w:hyperlink r:id="rId14" w:anchor="PHP6449" w:tooltip="Arcoxia®" w:history="1">
              <w:r w:rsidRPr="007327D0">
                <w:rPr>
                  <w:rFonts w:ascii="Arial" w:eastAsia="Times New Roman" w:hAnsi="Arial" w:cs="Arial"/>
                  <w:b/>
                  <w:bCs/>
                </w:rPr>
                <w:t>Arcoxia®</w:t>
              </w:r>
            </w:hyperlink>
            <w:r w:rsidRPr="007327D0">
              <w:rPr>
                <w:rFonts w:ascii="Arial" w:eastAsia="Times New Roman" w:hAnsi="Arial" w:cs="Arial"/>
                <w:b/>
                <w:bCs/>
              </w:rPr>
              <w:t xml:space="preserve"> </w:t>
            </w:r>
          </w:p>
          <w:p w:rsidR="00D606DA" w:rsidRDefault="00D606DA" w:rsidP="00EB0E10">
            <w:pPr>
              <w:shd w:val="clear" w:color="auto" w:fill="FFFFFF"/>
              <w:rPr>
                <w:rFonts w:ascii="Arial" w:eastAsia="Times New Roman" w:hAnsi="Arial" w:cs="Arial"/>
                <w:color w:val="000000"/>
                <w:lang w:val="en"/>
              </w:rPr>
            </w:pPr>
            <w:r w:rsidRPr="00D606DA">
              <w:rPr>
                <w:rFonts w:ascii="Arial" w:eastAsia="Times New Roman" w:hAnsi="Arial" w:cs="Arial"/>
                <w:color w:val="000000"/>
                <w:lang w:val="en"/>
              </w:rPr>
              <w:t>Arcoxia is indicated in adults and adolescents 16 years of age and older for the symptomatic relief of osteoarthritis (OA), rheumatoid arthritis (RA), ankylosing spondylitis, and the pain and signs of inflammation associated with acute gouty arthritis.</w:t>
            </w:r>
          </w:p>
          <w:p w:rsidR="005D5AD0" w:rsidRPr="00D606DA" w:rsidRDefault="005D5AD0" w:rsidP="00EB0E10">
            <w:pPr>
              <w:shd w:val="clear" w:color="auto" w:fill="FFFFFF"/>
              <w:rPr>
                <w:rFonts w:ascii="Arial" w:eastAsia="Times New Roman" w:hAnsi="Arial" w:cs="Arial"/>
                <w:color w:val="000000"/>
                <w:lang w:val="en"/>
              </w:rPr>
            </w:pPr>
          </w:p>
          <w:p w:rsidR="00E9018C" w:rsidRDefault="00D606DA" w:rsidP="00E9018C">
            <w:pPr>
              <w:rPr>
                <w:rFonts w:ascii="Arial" w:eastAsia="Times New Roman" w:hAnsi="Arial" w:cs="Arial"/>
                <w:color w:val="000000"/>
                <w:lang w:val="en"/>
              </w:rPr>
            </w:pPr>
            <w:r w:rsidRPr="00D606DA">
              <w:rPr>
                <w:rFonts w:ascii="Arial" w:eastAsia="Times New Roman" w:hAnsi="Arial" w:cs="Arial"/>
                <w:color w:val="000000"/>
                <w:lang w:val="en"/>
              </w:rPr>
              <w:t>Arcoxia is indicated in adults and adolescents 16 years of age and older for the short-term treatment of moderate pain associated with dental surgery</w:t>
            </w:r>
            <w:r w:rsidR="00EB0E10">
              <w:rPr>
                <w:rFonts w:ascii="Arial" w:eastAsia="Times New Roman" w:hAnsi="Arial" w:cs="Arial"/>
                <w:color w:val="000000"/>
                <w:lang w:val="en"/>
              </w:rPr>
              <w:t>.</w:t>
            </w:r>
          </w:p>
          <w:p w:rsidR="00E9018C" w:rsidRPr="00D606DA" w:rsidRDefault="00E9018C" w:rsidP="00E9018C">
            <w:pPr>
              <w:rPr>
                <w:rFonts w:ascii="Arial" w:hAnsi="Arial" w:cs="Arial"/>
              </w:rPr>
            </w:pPr>
          </w:p>
        </w:tc>
      </w:tr>
      <w:tr w:rsidR="00C83E2A" w:rsidTr="0048749A">
        <w:trPr>
          <w:trHeight w:val="562"/>
        </w:trPr>
        <w:tc>
          <w:tcPr>
            <w:tcW w:w="2382" w:type="dxa"/>
            <w:tcBorders>
              <w:bottom w:val="single" w:sz="4" w:space="0" w:color="auto"/>
            </w:tcBorders>
            <w:shd w:val="clear" w:color="auto" w:fill="F2F2F2" w:themeFill="background1" w:themeFillShade="F2"/>
            <w:vAlign w:val="center"/>
          </w:tcPr>
          <w:p w:rsidR="00C83E2A" w:rsidRPr="00CC4C4E" w:rsidRDefault="00C83E2A" w:rsidP="005865F3">
            <w:pPr>
              <w:rPr>
                <w:rFonts w:ascii="Arial" w:hAnsi="Arial" w:cs="Arial"/>
                <w:b/>
                <w:vertAlign w:val="superscript"/>
              </w:rPr>
            </w:pPr>
            <w:r w:rsidRPr="00CC4C4E">
              <w:rPr>
                <w:rFonts w:ascii="Arial" w:hAnsi="Arial" w:cs="Arial"/>
                <w:b/>
              </w:rPr>
              <w:t>Formulation</w:t>
            </w:r>
            <w:r w:rsidR="00CC4C4E">
              <w:rPr>
                <w:rFonts w:ascii="Arial" w:hAnsi="Arial" w:cs="Arial"/>
                <w:b/>
                <w:vertAlign w:val="superscript"/>
              </w:rPr>
              <w:t>1</w:t>
            </w:r>
          </w:p>
        </w:tc>
        <w:tc>
          <w:tcPr>
            <w:tcW w:w="8307" w:type="dxa"/>
            <w:gridSpan w:val="2"/>
          </w:tcPr>
          <w:p w:rsidR="00CC4C4E" w:rsidRPr="00E252E3" w:rsidRDefault="00E252E3" w:rsidP="00EB0E10">
            <w:pPr>
              <w:numPr>
                <w:ilvl w:val="0"/>
                <w:numId w:val="8"/>
              </w:numPr>
              <w:outlineLvl w:val="3"/>
              <w:rPr>
                <w:rFonts w:ascii="Arial" w:eastAsia="Times New Roman" w:hAnsi="Arial" w:cs="Arial"/>
                <w:b/>
                <w:bCs/>
              </w:rPr>
            </w:pPr>
            <w:r w:rsidRPr="00E252E3">
              <w:rPr>
                <w:rFonts w:ascii="Arial" w:eastAsia="Times New Roman" w:hAnsi="Arial" w:cs="Arial"/>
                <w:b/>
                <w:bCs/>
              </w:rPr>
              <w:t xml:space="preserve">Celecoxib </w:t>
            </w:r>
            <w:r w:rsidR="00E9018C">
              <w:rPr>
                <w:rFonts w:ascii="Arial" w:eastAsia="Times New Roman" w:hAnsi="Arial" w:cs="Arial"/>
                <w:b/>
                <w:bCs/>
              </w:rPr>
              <w:t xml:space="preserve">- </w:t>
            </w:r>
            <w:r w:rsidR="001F304E" w:rsidRPr="00E252E3">
              <w:rPr>
                <w:rFonts w:ascii="Arial" w:eastAsia="Times New Roman" w:hAnsi="Arial" w:cs="Arial"/>
              </w:rPr>
              <w:t>100 mg</w:t>
            </w:r>
            <w:r w:rsidR="00CC4C4E" w:rsidRPr="00E252E3">
              <w:rPr>
                <w:rFonts w:ascii="Arial" w:eastAsia="Times New Roman" w:hAnsi="Arial" w:cs="Arial"/>
              </w:rPr>
              <w:t xml:space="preserve">, </w:t>
            </w:r>
            <w:r w:rsidR="001F304E" w:rsidRPr="00E252E3">
              <w:rPr>
                <w:rFonts w:ascii="Arial" w:eastAsia="Times New Roman" w:hAnsi="Arial" w:cs="Arial"/>
              </w:rPr>
              <w:t xml:space="preserve">200 mg </w:t>
            </w:r>
            <w:r w:rsidR="00685F00">
              <w:rPr>
                <w:rFonts w:ascii="Arial" w:eastAsia="Times New Roman" w:hAnsi="Arial" w:cs="Arial"/>
              </w:rPr>
              <w:t>capsules</w:t>
            </w:r>
          </w:p>
          <w:p w:rsidR="00CC4C4E" w:rsidRPr="00CC4C4E" w:rsidRDefault="00CC4C4E" w:rsidP="00EB0E10">
            <w:pPr>
              <w:outlineLvl w:val="3"/>
              <w:rPr>
                <w:rFonts w:ascii="Arial" w:eastAsia="Times New Roman" w:hAnsi="Arial" w:cs="Arial"/>
                <w:b/>
                <w:bCs/>
              </w:rPr>
            </w:pPr>
          </w:p>
          <w:p w:rsidR="00D606DA" w:rsidRPr="00E252E3" w:rsidRDefault="007327D0" w:rsidP="00EB0E10">
            <w:pPr>
              <w:numPr>
                <w:ilvl w:val="0"/>
                <w:numId w:val="8"/>
              </w:numPr>
              <w:outlineLvl w:val="3"/>
              <w:rPr>
                <w:rFonts w:ascii="Arial" w:eastAsia="Times New Roman" w:hAnsi="Arial" w:cs="Arial"/>
                <w:lang w:val="en"/>
              </w:rPr>
            </w:pPr>
            <w:r w:rsidRPr="00E252E3">
              <w:rPr>
                <w:rFonts w:ascii="Arial" w:eastAsia="Times New Roman" w:hAnsi="Arial" w:cs="Arial"/>
                <w:b/>
                <w:bCs/>
              </w:rPr>
              <w:t xml:space="preserve">Etoricoxib - </w:t>
            </w:r>
            <w:r w:rsidR="00D606DA" w:rsidRPr="00E252E3">
              <w:rPr>
                <w:rFonts w:ascii="Arial" w:eastAsia="Times New Roman" w:hAnsi="Arial" w:cs="Arial"/>
                <w:lang w:val="en"/>
              </w:rPr>
              <w:t>30 mg</w:t>
            </w:r>
            <w:r w:rsidR="00E252E3" w:rsidRPr="00E252E3">
              <w:rPr>
                <w:rFonts w:ascii="Arial" w:eastAsia="Times New Roman" w:hAnsi="Arial" w:cs="Arial"/>
                <w:lang w:val="en"/>
              </w:rPr>
              <w:t>, 60mg, 90mg, 120mg</w:t>
            </w:r>
            <w:r w:rsidR="00D606DA" w:rsidRPr="00E252E3">
              <w:rPr>
                <w:rFonts w:ascii="Arial" w:eastAsia="Times New Roman" w:hAnsi="Arial" w:cs="Arial"/>
                <w:lang w:val="en"/>
              </w:rPr>
              <w:t xml:space="preserve"> film-coated tablets </w:t>
            </w:r>
          </w:p>
          <w:p w:rsidR="007327D0" w:rsidRPr="007327D0" w:rsidRDefault="007327D0" w:rsidP="00EB0E10">
            <w:pPr>
              <w:outlineLvl w:val="3"/>
              <w:rPr>
                <w:rFonts w:ascii="Arial" w:hAnsi="Arial" w:cs="Arial"/>
              </w:rPr>
            </w:pPr>
          </w:p>
        </w:tc>
      </w:tr>
      <w:tr w:rsidR="00C83E2A" w:rsidTr="0048749A">
        <w:trPr>
          <w:trHeight w:val="562"/>
        </w:trPr>
        <w:tc>
          <w:tcPr>
            <w:tcW w:w="2382" w:type="dxa"/>
            <w:tcBorders>
              <w:bottom w:val="single" w:sz="4" w:space="0" w:color="auto"/>
            </w:tcBorders>
            <w:shd w:val="clear" w:color="auto" w:fill="F2F2F2" w:themeFill="background1" w:themeFillShade="F2"/>
            <w:vAlign w:val="center"/>
          </w:tcPr>
          <w:p w:rsidR="00C83E2A" w:rsidRPr="00094502" w:rsidRDefault="00C83E2A" w:rsidP="002908FF">
            <w:pPr>
              <w:rPr>
                <w:rFonts w:ascii="Arial" w:hAnsi="Arial" w:cs="Arial"/>
                <w:b/>
                <w:vertAlign w:val="superscript"/>
              </w:rPr>
            </w:pPr>
            <w:r>
              <w:rPr>
                <w:rFonts w:ascii="Arial" w:hAnsi="Arial" w:cs="Arial"/>
                <w:b/>
              </w:rPr>
              <w:t>U</w:t>
            </w:r>
            <w:r w:rsidRPr="00674B8B">
              <w:rPr>
                <w:rFonts w:ascii="Arial" w:hAnsi="Arial" w:cs="Arial"/>
                <w:b/>
              </w:rPr>
              <w:t>sual dosage</w:t>
            </w:r>
            <w:r w:rsidR="003143FB">
              <w:rPr>
                <w:rFonts w:ascii="Arial" w:hAnsi="Arial" w:cs="Arial"/>
                <w:b/>
                <w:vertAlign w:val="superscript"/>
              </w:rPr>
              <w:t>1</w:t>
            </w:r>
          </w:p>
        </w:tc>
        <w:tc>
          <w:tcPr>
            <w:tcW w:w="8307" w:type="dxa"/>
            <w:gridSpan w:val="2"/>
          </w:tcPr>
          <w:p w:rsidR="00CC4C4E" w:rsidRPr="00133C30" w:rsidRDefault="007327D0" w:rsidP="00CC4C4E">
            <w:pPr>
              <w:numPr>
                <w:ilvl w:val="0"/>
                <w:numId w:val="7"/>
              </w:numPr>
              <w:shd w:val="clear" w:color="auto" w:fill="FFFFFF"/>
              <w:outlineLvl w:val="3"/>
              <w:rPr>
                <w:rFonts w:ascii="Arial" w:eastAsia="Times New Roman" w:hAnsi="Arial" w:cs="Arial"/>
                <w:lang w:val="en"/>
              </w:rPr>
            </w:pPr>
            <w:r w:rsidRPr="00133C30">
              <w:rPr>
                <w:rFonts w:ascii="Arial" w:eastAsia="Times New Roman" w:hAnsi="Arial" w:cs="Arial"/>
                <w:b/>
                <w:bCs/>
              </w:rPr>
              <w:t xml:space="preserve">Celecoxib - </w:t>
            </w:r>
            <w:hyperlink r:id="rId15" w:anchor="PHP6416" w:tooltip="Celebrex®" w:history="1">
              <w:r w:rsidRPr="00133C30">
                <w:rPr>
                  <w:rFonts w:ascii="Arial" w:eastAsia="Times New Roman" w:hAnsi="Arial" w:cs="Arial"/>
                  <w:b/>
                  <w:bCs/>
                </w:rPr>
                <w:t>Celebrex®</w:t>
              </w:r>
            </w:hyperlink>
            <w:r w:rsidRPr="00133C30">
              <w:rPr>
                <w:rFonts w:ascii="Arial" w:eastAsia="Times New Roman" w:hAnsi="Arial" w:cs="Arial"/>
                <w:b/>
                <w:bCs/>
              </w:rPr>
              <w:t xml:space="preserve"> </w:t>
            </w:r>
          </w:p>
          <w:p w:rsidR="00CC4C4E" w:rsidRPr="00133C30" w:rsidRDefault="00CC4C4E" w:rsidP="00CC4C4E">
            <w:pPr>
              <w:shd w:val="clear" w:color="auto" w:fill="FFFFFF"/>
              <w:outlineLvl w:val="3"/>
              <w:rPr>
                <w:rFonts w:ascii="Arial" w:eastAsia="Times New Roman" w:hAnsi="Arial" w:cs="Arial"/>
                <w:lang w:val="en"/>
              </w:rPr>
            </w:pPr>
            <w:r w:rsidRPr="00133C30">
              <w:rPr>
                <w:rFonts w:ascii="Arial" w:eastAsia="Times New Roman" w:hAnsi="Arial" w:cs="Arial"/>
                <w:i/>
                <w:iCs/>
                <w:u w:val="single"/>
                <w:lang w:val="en"/>
              </w:rPr>
              <w:t>Osteoarthritis</w:t>
            </w:r>
            <w:r w:rsidRPr="00133C30">
              <w:rPr>
                <w:rFonts w:ascii="Arial" w:eastAsia="Times New Roman" w:hAnsi="Arial" w:cs="Arial"/>
                <w:lang w:val="en"/>
              </w:rPr>
              <w:t xml:space="preserve"> </w:t>
            </w:r>
          </w:p>
          <w:p w:rsidR="00CC4C4E" w:rsidRDefault="00CC4C4E" w:rsidP="00CC4C4E">
            <w:pPr>
              <w:shd w:val="clear" w:color="auto" w:fill="FFFFFF"/>
              <w:rPr>
                <w:rFonts w:ascii="Arial" w:eastAsia="Times New Roman" w:hAnsi="Arial" w:cs="Arial"/>
                <w:lang w:val="en"/>
              </w:rPr>
            </w:pPr>
            <w:r w:rsidRPr="00133C30">
              <w:rPr>
                <w:rFonts w:ascii="Arial" w:eastAsia="Times New Roman" w:hAnsi="Arial" w:cs="Arial"/>
                <w:lang w:val="en"/>
              </w:rPr>
              <w:t>The usual recommended daily dose is 200 mg taken once daily or in two divided doses. In some patients, with insufficient relief from symptoms, an increased dose of 200 mg twice daily may increase efficacy. In the absence of an increase in therapeutic benefit after two weeks, other therapeutic options should be considered.</w:t>
            </w:r>
          </w:p>
          <w:p w:rsidR="005D5AD0" w:rsidRPr="00133C30" w:rsidRDefault="005D5AD0" w:rsidP="00CC4C4E">
            <w:pPr>
              <w:shd w:val="clear" w:color="auto" w:fill="FFFFFF"/>
              <w:rPr>
                <w:rFonts w:ascii="Arial" w:eastAsia="Times New Roman" w:hAnsi="Arial" w:cs="Arial"/>
                <w:lang w:val="en"/>
              </w:rPr>
            </w:pPr>
          </w:p>
          <w:p w:rsidR="00CC4C4E" w:rsidRPr="00133C30" w:rsidRDefault="00CC4C4E" w:rsidP="00CC4C4E">
            <w:pPr>
              <w:shd w:val="clear" w:color="auto" w:fill="FFFFFF"/>
              <w:rPr>
                <w:rFonts w:ascii="Arial" w:eastAsia="Times New Roman" w:hAnsi="Arial" w:cs="Arial"/>
                <w:lang w:val="en"/>
              </w:rPr>
            </w:pPr>
            <w:r w:rsidRPr="00133C30">
              <w:rPr>
                <w:rFonts w:ascii="Arial" w:eastAsia="Times New Roman" w:hAnsi="Arial" w:cs="Arial"/>
                <w:i/>
                <w:iCs/>
                <w:u w:val="single"/>
                <w:lang w:val="en"/>
              </w:rPr>
              <w:t>Rheumatoid arthritis</w:t>
            </w:r>
            <w:r w:rsidRPr="00133C30">
              <w:rPr>
                <w:rFonts w:ascii="Arial" w:eastAsia="Times New Roman" w:hAnsi="Arial" w:cs="Arial"/>
                <w:lang w:val="en"/>
              </w:rPr>
              <w:t xml:space="preserve"> </w:t>
            </w:r>
          </w:p>
          <w:p w:rsidR="00CC4C4E" w:rsidRPr="00133C30" w:rsidRDefault="00CC4C4E" w:rsidP="00CC4C4E">
            <w:pPr>
              <w:shd w:val="clear" w:color="auto" w:fill="FFFFFF"/>
              <w:rPr>
                <w:rFonts w:ascii="Arial" w:eastAsia="Times New Roman" w:hAnsi="Arial" w:cs="Arial"/>
                <w:lang w:val="en"/>
              </w:rPr>
            </w:pPr>
            <w:r w:rsidRPr="00133C30">
              <w:rPr>
                <w:rFonts w:ascii="Arial" w:eastAsia="Times New Roman" w:hAnsi="Arial" w:cs="Arial"/>
                <w:lang w:val="en"/>
              </w:rPr>
              <w:t xml:space="preserve">The initial recommended daily dose is 200 mg taken in two divided doses. The dose may, if needed, later be increased to 200 mg twice daily. In the absence of an </w:t>
            </w:r>
            <w:r w:rsidRPr="00133C30">
              <w:rPr>
                <w:rFonts w:ascii="Arial" w:eastAsia="Times New Roman" w:hAnsi="Arial" w:cs="Arial"/>
                <w:lang w:val="en"/>
              </w:rPr>
              <w:lastRenderedPageBreak/>
              <w:t>increase in therapeutic benefit after two weeks, other therapeutic options should be considered.</w:t>
            </w:r>
          </w:p>
          <w:p w:rsidR="00CC4C4E" w:rsidRPr="00133C30" w:rsidRDefault="00CC4C4E" w:rsidP="00CC4C4E">
            <w:pPr>
              <w:shd w:val="clear" w:color="auto" w:fill="FFFFFF"/>
              <w:rPr>
                <w:rFonts w:ascii="Arial" w:eastAsia="Times New Roman" w:hAnsi="Arial" w:cs="Arial"/>
                <w:lang w:val="en"/>
              </w:rPr>
            </w:pPr>
            <w:r w:rsidRPr="00133C30">
              <w:rPr>
                <w:rFonts w:ascii="Arial" w:eastAsia="Times New Roman" w:hAnsi="Arial" w:cs="Arial"/>
                <w:i/>
                <w:iCs/>
                <w:u w:val="single"/>
                <w:lang w:val="en"/>
              </w:rPr>
              <w:t>Ankylosing spondylitis</w:t>
            </w:r>
            <w:r w:rsidRPr="00133C30">
              <w:rPr>
                <w:rFonts w:ascii="Arial" w:eastAsia="Times New Roman" w:hAnsi="Arial" w:cs="Arial"/>
                <w:lang w:val="en"/>
              </w:rPr>
              <w:t xml:space="preserve"> </w:t>
            </w:r>
          </w:p>
          <w:p w:rsidR="00CC4C4E" w:rsidRPr="00133C30" w:rsidRDefault="00CC4C4E" w:rsidP="00CC4C4E">
            <w:pPr>
              <w:shd w:val="clear" w:color="auto" w:fill="FFFFFF"/>
              <w:rPr>
                <w:rFonts w:ascii="Arial" w:eastAsia="Times New Roman" w:hAnsi="Arial" w:cs="Arial"/>
                <w:lang w:val="en"/>
              </w:rPr>
            </w:pPr>
            <w:r w:rsidRPr="00133C30">
              <w:rPr>
                <w:rFonts w:ascii="Arial" w:eastAsia="Times New Roman" w:hAnsi="Arial" w:cs="Arial"/>
                <w:lang w:val="en"/>
              </w:rPr>
              <w:t>The recommended daily dose is 200 mg taken once daily or in two divided doses. In a few patients, with insufficient relief from symptoms, an increased dose of 400 mg once daily or in two divided doses may increase efficacy. In the absence of an increase in therapeutic benefit after two weeks, other therapeutic options should be considered.</w:t>
            </w:r>
          </w:p>
          <w:p w:rsidR="00133C30" w:rsidRPr="00133C30" w:rsidRDefault="00133C30" w:rsidP="00CC4C4E">
            <w:pPr>
              <w:shd w:val="clear" w:color="auto" w:fill="FFFFFF"/>
              <w:rPr>
                <w:rFonts w:ascii="Arial" w:eastAsia="Times New Roman" w:hAnsi="Arial" w:cs="Arial"/>
                <w:lang w:val="en"/>
              </w:rPr>
            </w:pPr>
          </w:p>
          <w:p w:rsidR="00CC4C4E" w:rsidRPr="00133C30" w:rsidRDefault="00CC4C4E" w:rsidP="00CC4C4E">
            <w:pPr>
              <w:shd w:val="clear" w:color="auto" w:fill="FFFFFF"/>
              <w:spacing w:after="150"/>
              <w:rPr>
                <w:rFonts w:ascii="Arial" w:eastAsia="Times New Roman" w:hAnsi="Arial" w:cs="Arial"/>
                <w:b/>
                <w:bCs/>
              </w:rPr>
            </w:pPr>
            <w:r w:rsidRPr="00133C30">
              <w:rPr>
                <w:rFonts w:ascii="Arial" w:eastAsia="Times New Roman" w:hAnsi="Arial" w:cs="Arial"/>
                <w:lang w:val="en"/>
              </w:rPr>
              <w:t>The maximum recommended daily dose is 400 mg for all indications.</w:t>
            </w:r>
          </w:p>
          <w:p w:rsidR="007327D0" w:rsidRPr="00133C30" w:rsidRDefault="007327D0" w:rsidP="00EB0E10">
            <w:pPr>
              <w:pStyle w:val="ListParagraph"/>
              <w:numPr>
                <w:ilvl w:val="0"/>
                <w:numId w:val="10"/>
              </w:numPr>
              <w:rPr>
                <w:rFonts w:ascii="Arial" w:eastAsia="Times New Roman" w:hAnsi="Arial" w:cs="Arial"/>
                <w:b/>
                <w:bCs/>
              </w:rPr>
            </w:pPr>
            <w:r w:rsidRPr="00133C30">
              <w:rPr>
                <w:rFonts w:ascii="Arial" w:eastAsia="Times New Roman" w:hAnsi="Arial" w:cs="Arial"/>
                <w:b/>
                <w:bCs/>
              </w:rPr>
              <w:t xml:space="preserve">Etoricoxib - </w:t>
            </w:r>
            <w:hyperlink r:id="rId16" w:anchor="PHP6449" w:tooltip="Arcoxia®" w:history="1">
              <w:r w:rsidRPr="00133C30">
                <w:rPr>
                  <w:rFonts w:ascii="Arial" w:eastAsia="Times New Roman" w:hAnsi="Arial" w:cs="Arial"/>
                  <w:b/>
                  <w:bCs/>
                </w:rPr>
                <w:t>Arcoxia®</w:t>
              </w:r>
            </w:hyperlink>
            <w:r w:rsidRPr="00133C30">
              <w:rPr>
                <w:rFonts w:ascii="Arial" w:eastAsia="Times New Roman" w:hAnsi="Arial" w:cs="Arial"/>
                <w:b/>
                <w:bCs/>
              </w:rPr>
              <w:t xml:space="preserve"> </w:t>
            </w:r>
          </w:p>
          <w:p w:rsidR="00025169" w:rsidRPr="00133C30" w:rsidRDefault="00025169" w:rsidP="00025169">
            <w:pPr>
              <w:shd w:val="clear" w:color="auto" w:fill="FFFFFF"/>
              <w:rPr>
                <w:rFonts w:ascii="Arial" w:eastAsia="Times New Roman" w:hAnsi="Arial" w:cs="Arial"/>
                <w:u w:val="single"/>
                <w:lang w:val="en"/>
              </w:rPr>
            </w:pPr>
            <w:r w:rsidRPr="00133C30">
              <w:rPr>
                <w:rFonts w:ascii="Arial" w:eastAsia="Times New Roman" w:hAnsi="Arial" w:cs="Arial"/>
                <w:i/>
                <w:iCs/>
                <w:u w:val="single"/>
                <w:lang w:val="en"/>
              </w:rPr>
              <w:t xml:space="preserve">Osteoarthritis </w:t>
            </w:r>
          </w:p>
          <w:p w:rsidR="00025169" w:rsidRPr="00133C30"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The recommended dose is 30 mg once daily. In some patients with insufficient relief from symptoms, an increased dose of 60 mg once daily may increase efficacy. In the absence of an increase in therapeutic benefit, other therapeutic options should be considered.</w:t>
            </w:r>
          </w:p>
          <w:p w:rsidR="00025169" w:rsidRPr="00133C30" w:rsidRDefault="00025169" w:rsidP="00025169">
            <w:pPr>
              <w:shd w:val="clear" w:color="auto" w:fill="FFFFFF"/>
              <w:rPr>
                <w:rFonts w:ascii="Arial" w:eastAsia="Times New Roman" w:hAnsi="Arial" w:cs="Arial"/>
                <w:u w:val="single"/>
                <w:lang w:val="en"/>
              </w:rPr>
            </w:pPr>
            <w:r w:rsidRPr="00133C30">
              <w:rPr>
                <w:rFonts w:ascii="Arial" w:eastAsia="Times New Roman" w:hAnsi="Arial" w:cs="Arial"/>
                <w:i/>
                <w:iCs/>
                <w:u w:val="single"/>
                <w:lang w:val="en"/>
              </w:rPr>
              <w:t>Rheumatoid arthritis</w:t>
            </w:r>
            <w:r w:rsidRPr="00133C30">
              <w:rPr>
                <w:rFonts w:ascii="Arial" w:eastAsia="Times New Roman" w:hAnsi="Arial" w:cs="Arial"/>
                <w:u w:val="single"/>
                <w:lang w:val="en"/>
              </w:rPr>
              <w:t xml:space="preserve"> </w:t>
            </w:r>
          </w:p>
          <w:p w:rsidR="00025169" w:rsidRPr="00133C30"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The recommended dose is 60 mg once daily. In some patients with insufficient relief from symptoms, an increased dose of 90 mg once daily may increase efficacy. Once the patient is clinically stabilised, down-titration to a 60 mg once daily dose may be appropriate. In the absence of an increase in therapeutic benefit, other therapeutic options should be considered.</w:t>
            </w:r>
          </w:p>
          <w:p w:rsidR="00025169" w:rsidRPr="00133C30" w:rsidRDefault="00025169" w:rsidP="00025169">
            <w:pPr>
              <w:shd w:val="clear" w:color="auto" w:fill="FFFFFF"/>
              <w:rPr>
                <w:rFonts w:ascii="Arial" w:eastAsia="Times New Roman" w:hAnsi="Arial" w:cs="Arial"/>
                <w:u w:val="single"/>
                <w:lang w:val="en"/>
              </w:rPr>
            </w:pPr>
            <w:r w:rsidRPr="00133C30">
              <w:rPr>
                <w:rFonts w:ascii="Arial" w:eastAsia="Times New Roman" w:hAnsi="Arial" w:cs="Arial"/>
                <w:i/>
                <w:iCs/>
                <w:u w:val="single"/>
                <w:lang w:val="en"/>
              </w:rPr>
              <w:t xml:space="preserve">Ankylosing spondylitis </w:t>
            </w:r>
          </w:p>
          <w:p w:rsidR="00025169" w:rsidRPr="00133C30"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The recommended dose is 60 mg once daily. In some patients with insufficient relief from symptoms, an increased dose of 90 mg once daily may increase efficacy. Once the patient is clinically stabilised, down-titration to a 60 mg once daily dose may be appropriate. In the absence of an increase in therapeutic benefit, other therapeutic options should be considered.</w:t>
            </w:r>
          </w:p>
          <w:p w:rsidR="00025169" w:rsidRPr="00133C30" w:rsidRDefault="00025169" w:rsidP="00025169">
            <w:pPr>
              <w:shd w:val="clear" w:color="auto" w:fill="FFFFFF"/>
              <w:rPr>
                <w:rFonts w:ascii="Arial" w:eastAsia="Times New Roman" w:hAnsi="Arial" w:cs="Arial"/>
                <w:u w:val="single"/>
                <w:lang w:val="en"/>
              </w:rPr>
            </w:pPr>
            <w:r w:rsidRPr="00133C30">
              <w:rPr>
                <w:rFonts w:ascii="Arial" w:eastAsia="Times New Roman" w:hAnsi="Arial" w:cs="Arial"/>
                <w:i/>
                <w:iCs/>
                <w:u w:val="single"/>
                <w:lang w:val="en"/>
              </w:rPr>
              <w:t>Acute pain conditions</w:t>
            </w:r>
            <w:r w:rsidRPr="00133C30">
              <w:rPr>
                <w:rFonts w:ascii="Arial" w:eastAsia="Times New Roman" w:hAnsi="Arial" w:cs="Arial"/>
                <w:u w:val="single"/>
                <w:lang w:val="en"/>
              </w:rPr>
              <w:t xml:space="preserve"> </w:t>
            </w:r>
          </w:p>
          <w:p w:rsidR="00025169" w:rsidRPr="00133C30"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For acute pain conditions, etoricoxib should be used only for the acute symptomatic period.</w:t>
            </w:r>
          </w:p>
          <w:p w:rsidR="00025169" w:rsidRPr="00133C30" w:rsidRDefault="00025169" w:rsidP="00025169">
            <w:pPr>
              <w:shd w:val="clear" w:color="auto" w:fill="FFFFFF"/>
              <w:rPr>
                <w:rFonts w:ascii="Arial" w:eastAsia="Times New Roman" w:hAnsi="Arial" w:cs="Arial"/>
                <w:u w:val="single"/>
                <w:lang w:val="en"/>
              </w:rPr>
            </w:pPr>
            <w:r w:rsidRPr="00133C30">
              <w:rPr>
                <w:rFonts w:ascii="Arial" w:eastAsia="Times New Roman" w:hAnsi="Arial" w:cs="Arial"/>
                <w:i/>
                <w:iCs/>
                <w:u w:val="single"/>
                <w:lang w:val="en"/>
              </w:rPr>
              <w:t>Acute gouty arthritis</w:t>
            </w:r>
            <w:r w:rsidRPr="00133C30">
              <w:rPr>
                <w:rFonts w:ascii="Arial" w:eastAsia="Times New Roman" w:hAnsi="Arial" w:cs="Arial"/>
                <w:u w:val="single"/>
                <w:lang w:val="en"/>
              </w:rPr>
              <w:t xml:space="preserve"> </w:t>
            </w:r>
          </w:p>
          <w:p w:rsidR="00025169" w:rsidRPr="00133C30"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The recommended dose is 120 mg once daily. In clinical trials for acute gouty arthritis, etoricoxib was given for 8 days.</w:t>
            </w:r>
          </w:p>
          <w:p w:rsidR="00025169" w:rsidRPr="00133C30" w:rsidRDefault="00025169" w:rsidP="00025169">
            <w:pPr>
              <w:shd w:val="clear" w:color="auto" w:fill="FFFFFF"/>
              <w:rPr>
                <w:rFonts w:ascii="Arial" w:eastAsia="Times New Roman" w:hAnsi="Arial" w:cs="Arial"/>
                <w:u w:val="single"/>
                <w:lang w:val="en"/>
              </w:rPr>
            </w:pPr>
            <w:r w:rsidRPr="00133C30">
              <w:rPr>
                <w:rFonts w:ascii="Arial" w:eastAsia="Times New Roman" w:hAnsi="Arial" w:cs="Arial"/>
                <w:i/>
                <w:iCs/>
                <w:u w:val="single"/>
                <w:lang w:val="en"/>
              </w:rPr>
              <w:t>Postoperative dental surgery pain</w:t>
            </w:r>
            <w:r w:rsidRPr="00133C30">
              <w:rPr>
                <w:rFonts w:ascii="Arial" w:eastAsia="Times New Roman" w:hAnsi="Arial" w:cs="Arial"/>
                <w:u w:val="single"/>
                <w:lang w:val="en"/>
              </w:rPr>
              <w:t xml:space="preserve"> </w:t>
            </w:r>
          </w:p>
          <w:p w:rsidR="00025169" w:rsidRPr="00133C30"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The recommended dose is 90 mg once daily, limited to a maximum of 3 days. Some patients may require other postoperative analgesia in addition to ARCOXIA during the three day treatment period.</w:t>
            </w:r>
          </w:p>
          <w:p w:rsidR="00EB0E10" w:rsidRPr="00133C30" w:rsidRDefault="00EB0E10" w:rsidP="00025169">
            <w:pPr>
              <w:shd w:val="clear" w:color="auto" w:fill="FFFFFF"/>
              <w:rPr>
                <w:rFonts w:ascii="Arial" w:eastAsia="Times New Roman" w:hAnsi="Arial" w:cs="Arial"/>
                <w:lang w:val="en"/>
              </w:rPr>
            </w:pPr>
          </w:p>
          <w:p w:rsidR="00025169" w:rsidRDefault="00025169" w:rsidP="00025169">
            <w:pPr>
              <w:shd w:val="clear" w:color="auto" w:fill="FFFFFF"/>
              <w:rPr>
                <w:rFonts w:ascii="Arial" w:eastAsia="Times New Roman" w:hAnsi="Arial" w:cs="Arial"/>
                <w:lang w:val="en"/>
              </w:rPr>
            </w:pPr>
            <w:r w:rsidRPr="00133C30">
              <w:rPr>
                <w:rFonts w:ascii="Arial" w:eastAsia="Times New Roman" w:hAnsi="Arial" w:cs="Arial"/>
                <w:lang w:val="en"/>
              </w:rPr>
              <w:t>Doses greater than those recommended for each indication have either not demonstrated additional efficacy or have not been studied. Therefore:</w:t>
            </w:r>
          </w:p>
          <w:p w:rsidR="005D5AD0" w:rsidRPr="00133C30" w:rsidRDefault="005D5AD0" w:rsidP="00025169">
            <w:pPr>
              <w:shd w:val="clear" w:color="auto" w:fill="FFFFFF"/>
              <w:rPr>
                <w:rFonts w:ascii="Arial" w:eastAsia="Times New Roman" w:hAnsi="Arial" w:cs="Arial"/>
                <w:lang w:val="en"/>
              </w:rPr>
            </w:pPr>
          </w:p>
          <w:p w:rsidR="00025169" w:rsidRPr="00A80233" w:rsidRDefault="00025169" w:rsidP="00133C30">
            <w:pPr>
              <w:pStyle w:val="ListParagraph"/>
              <w:numPr>
                <w:ilvl w:val="0"/>
                <w:numId w:val="8"/>
              </w:numPr>
              <w:shd w:val="clear" w:color="auto" w:fill="FFFFFF"/>
              <w:rPr>
                <w:rFonts w:ascii="Arial" w:eastAsia="Times New Roman" w:hAnsi="Arial" w:cs="Arial"/>
                <w:lang w:val="en"/>
              </w:rPr>
            </w:pPr>
            <w:r w:rsidRPr="00A80233">
              <w:rPr>
                <w:rFonts w:ascii="Arial" w:eastAsia="Times New Roman" w:hAnsi="Arial" w:cs="Arial"/>
                <w:lang w:val="en"/>
              </w:rPr>
              <w:t>The dose for OA should not exceed 60 mg daily.</w:t>
            </w:r>
          </w:p>
          <w:p w:rsidR="00EB0E10" w:rsidRPr="00133C30" w:rsidRDefault="00EB0E10" w:rsidP="00025169">
            <w:pPr>
              <w:shd w:val="clear" w:color="auto" w:fill="FFFFFF"/>
              <w:rPr>
                <w:rFonts w:ascii="Arial" w:eastAsia="Times New Roman" w:hAnsi="Arial" w:cs="Arial"/>
                <w:lang w:val="en"/>
              </w:rPr>
            </w:pPr>
          </w:p>
          <w:p w:rsidR="00025169" w:rsidRPr="00133C30" w:rsidRDefault="00025169" w:rsidP="00133C30">
            <w:pPr>
              <w:pStyle w:val="ListParagraph"/>
              <w:numPr>
                <w:ilvl w:val="0"/>
                <w:numId w:val="8"/>
              </w:numPr>
              <w:shd w:val="clear" w:color="auto" w:fill="FFFFFF"/>
              <w:rPr>
                <w:rFonts w:ascii="Arial" w:eastAsia="Times New Roman" w:hAnsi="Arial" w:cs="Arial"/>
                <w:lang w:val="en"/>
              </w:rPr>
            </w:pPr>
            <w:r w:rsidRPr="00133C30">
              <w:rPr>
                <w:rFonts w:ascii="Arial" w:eastAsia="Times New Roman" w:hAnsi="Arial" w:cs="Arial"/>
                <w:lang w:val="en"/>
              </w:rPr>
              <w:t xml:space="preserve">The dose for RA and ankylosing spondylitis should not exceed 90 mg daily. </w:t>
            </w:r>
          </w:p>
          <w:p w:rsidR="00EB0E10" w:rsidRPr="00133C30" w:rsidRDefault="00EB0E10" w:rsidP="00025169">
            <w:pPr>
              <w:shd w:val="clear" w:color="auto" w:fill="FFFFFF"/>
              <w:rPr>
                <w:rFonts w:ascii="Arial" w:eastAsia="Times New Roman" w:hAnsi="Arial" w:cs="Arial"/>
                <w:lang w:val="en"/>
              </w:rPr>
            </w:pPr>
          </w:p>
          <w:p w:rsidR="00025169" w:rsidRPr="00133C30" w:rsidRDefault="00025169" w:rsidP="00133C30">
            <w:pPr>
              <w:pStyle w:val="ListParagraph"/>
              <w:numPr>
                <w:ilvl w:val="0"/>
                <w:numId w:val="8"/>
              </w:numPr>
              <w:shd w:val="clear" w:color="auto" w:fill="FFFFFF"/>
              <w:rPr>
                <w:rFonts w:ascii="Arial" w:eastAsia="Times New Roman" w:hAnsi="Arial" w:cs="Arial"/>
                <w:lang w:val="en"/>
              </w:rPr>
            </w:pPr>
            <w:r w:rsidRPr="00133C30">
              <w:rPr>
                <w:rFonts w:ascii="Arial" w:eastAsia="Times New Roman" w:hAnsi="Arial" w:cs="Arial"/>
                <w:lang w:val="en"/>
              </w:rPr>
              <w:t>The dose for acute gout should not exceed 120 mg daily, limited to a maximum of 8 days treatment.</w:t>
            </w:r>
          </w:p>
          <w:p w:rsidR="00EB0E10" w:rsidRPr="00133C30" w:rsidRDefault="00EB0E10" w:rsidP="00025169">
            <w:pPr>
              <w:shd w:val="clear" w:color="auto" w:fill="FFFFFF"/>
              <w:rPr>
                <w:rFonts w:ascii="Arial" w:eastAsia="Times New Roman" w:hAnsi="Arial" w:cs="Arial"/>
                <w:lang w:val="en"/>
              </w:rPr>
            </w:pPr>
          </w:p>
          <w:p w:rsidR="007327D0" w:rsidRPr="005D5AD0" w:rsidRDefault="00025169" w:rsidP="00133C30">
            <w:pPr>
              <w:pStyle w:val="ListParagraph"/>
              <w:numPr>
                <w:ilvl w:val="0"/>
                <w:numId w:val="8"/>
              </w:numPr>
              <w:shd w:val="clear" w:color="auto" w:fill="FFFFFF"/>
              <w:spacing w:after="150"/>
              <w:rPr>
                <w:rFonts w:ascii="Arial" w:hAnsi="Arial" w:cs="Arial"/>
              </w:rPr>
            </w:pPr>
            <w:r w:rsidRPr="00133C30">
              <w:rPr>
                <w:rFonts w:ascii="Arial" w:eastAsia="Times New Roman" w:hAnsi="Arial" w:cs="Arial"/>
                <w:lang w:val="en"/>
              </w:rPr>
              <w:t>The dose for postoperative acute dental surgery pain should not exceed 90 mg daily, limited to a maximum of 3 days.</w:t>
            </w:r>
          </w:p>
          <w:p w:rsidR="005D5AD0" w:rsidRPr="005D5AD0" w:rsidRDefault="005D5AD0" w:rsidP="005D5AD0">
            <w:pPr>
              <w:pStyle w:val="ListParagraph"/>
              <w:rPr>
                <w:rFonts w:ascii="Arial" w:hAnsi="Arial" w:cs="Arial"/>
              </w:rPr>
            </w:pPr>
          </w:p>
          <w:p w:rsidR="005D5AD0" w:rsidRDefault="005D5AD0" w:rsidP="005D5AD0">
            <w:pPr>
              <w:shd w:val="clear" w:color="auto" w:fill="FFFFFF"/>
              <w:spacing w:after="150"/>
              <w:rPr>
                <w:rFonts w:ascii="Arial" w:hAnsi="Arial" w:cs="Arial"/>
              </w:rPr>
            </w:pPr>
          </w:p>
          <w:p w:rsidR="00655F58" w:rsidRDefault="00655F58" w:rsidP="005D5AD0">
            <w:pPr>
              <w:shd w:val="clear" w:color="auto" w:fill="FFFFFF"/>
              <w:spacing w:after="150"/>
              <w:rPr>
                <w:rFonts w:ascii="Arial" w:hAnsi="Arial" w:cs="Arial"/>
              </w:rPr>
            </w:pPr>
          </w:p>
          <w:p w:rsidR="00655F58" w:rsidRPr="005D5AD0" w:rsidRDefault="00655F58" w:rsidP="005D5AD0">
            <w:pPr>
              <w:shd w:val="clear" w:color="auto" w:fill="FFFFFF"/>
              <w:spacing w:after="150"/>
              <w:rPr>
                <w:rFonts w:ascii="Arial" w:hAnsi="Arial" w:cs="Arial"/>
              </w:rPr>
            </w:pPr>
          </w:p>
        </w:tc>
      </w:tr>
      <w:tr w:rsidR="00C045BB" w:rsidTr="00C045BB">
        <w:tblPrEx>
          <w:jc w:val="center"/>
          <w:tblInd w:w="0" w:type="dxa"/>
        </w:tblPrEx>
        <w:trPr>
          <w:trHeight w:val="397"/>
          <w:jc w:val="center"/>
        </w:trPr>
        <w:tc>
          <w:tcPr>
            <w:tcW w:w="2382" w:type="dxa"/>
            <w:vMerge w:val="restart"/>
            <w:shd w:val="clear" w:color="auto" w:fill="F2F2F2" w:themeFill="background1" w:themeFillShade="F2"/>
            <w:vAlign w:val="center"/>
          </w:tcPr>
          <w:p w:rsidR="00C045BB" w:rsidRPr="00094502" w:rsidRDefault="00C045BB" w:rsidP="00F23CF8">
            <w:pPr>
              <w:jc w:val="center"/>
              <w:rPr>
                <w:rFonts w:ascii="Arial" w:hAnsi="Arial" w:cs="Arial"/>
                <w:b/>
                <w:vertAlign w:val="superscript"/>
              </w:rPr>
            </w:pPr>
            <w:r>
              <w:rPr>
                <w:rFonts w:ascii="Arial" w:hAnsi="Arial" w:cs="Arial"/>
                <w:b/>
              </w:rPr>
              <w:lastRenderedPageBreak/>
              <w:t>Traffic Light Status</w:t>
            </w:r>
          </w:p>
        </w:tc>
        <w:tc>
          <w:tcPr>
            <w:tcW w:w="3967" w:type="dxa"/>
            <w:shd w:val="clear" w:color="auto" w:fill="F2F2F2" w:themeFill="background1" w:themeFillShade="F2"/>
            <w:vAlign w:val="center"/>
          </w:tcPr>
          <w:p w:rsidR="00C045BB" w:rsidRPr="00082EBF" w:rsidRDefault="00C045BB" w:rsidP="00F23CF8">
            <w:pPr>
              <w:jc w:val="center"/>
              <w:rPr>
                <w:rFonts w:ascii="Arial" w:hAnsi="Arial" w:cs="Arial"/>
                <w:b/>
              </w:rPr>
            </w:pPr>
            <w:r>
              <w:rPr>
                <w:rFonts w:ascii="Arial" w:hAnsi="Arial" w:cs="Arial"/>
                <w:b/>
              </w:rPr>
              <w:t>Current status</w:t>
            </w:r>
          </w:p>
        </w:tc>
        <w:tc>
          <w:tcPr>
            <w:tcW w:w="4340" w:type="dxa"/>
            <w:shd w:val="clear" w:color="auto" w:fill="F2F2F2" w:themeFill="background1" w:themeFillShade="F2"/>
            <w:vAlign w:val="center"/>
          </w:tcPr>
          <w:p w:rsidR="00C045BB" w:rsidRPr="00133C30" w:rsidRDefault="00C045BB" w:rsidP="00F23CF8">
            <w:pPr>
              <w:jc w:val="center"/>
              <w:rPr>
                <w:rFonts w:ascii="Arial" w:hAnsi="Arial" w:cs="Arial"/>
                <w:b/>
              </w:rPr>
            </w:pPr>
            <w:r w:rsidRPr="00133C30">
              <w:rPr>
                <w:rFonts w:ascii="Arial" w:hAnsi="Arial" w:cs="Arial"/>
                <w:b/>
              </w:rPr>
              <w:t>Proposed status</w:t>
            </w:r>
          </w:p>
        </w:tc>
      </w:tr>
      <w:tr w:rsidR="00C045BB" w:rsidTr="00C045BB">
        <w:tblPrEx>
          <w:jc w:val="center"/>
          <w:tblInd w:w="0" w:type="dxa"/>
        </w:tblPrEx>
        <w:trPr>
          <w:trHeight w:val="644"/>
          <w:jc w:val="center"/>
        </w:trPr>
        <w:tc>
          <w:tcPr>
            <w:tcW w:w="2382" w:type="dxa"/>
            <w:vMerge/>
            <w:shd w:val="clear" w:color="auto" w:fill="F2F2F2" w:themeFill="background1" w:themeFillShade="F2"/>
            <w:vAlign w:val="center"/>
          </w:tcPr>
          <w:p w:rsidR="00C045BB" w:rsidRDefault="00C045BB" w:rsidP="006164B2">
            <w:pPr>
              <w:jc w:val="center"/>
              <w:rPr>
                <w:rFonts w:ascii="Arial" w:hAnsi="Arial" w:cs="Arial"/>
                <w:b/>
              </w:rPr>
            </w:pPr>
          </w:p>
        </w:tc>
        <w:tc>
          <w:tcPr>
            <w:tcW w:w="3967" w:type="dxa"/>
          </w:tcPr>
          <w:p w:rsidR="005E3E08" w:rsidRPr="0029402D" w:rsidRDefault="0029402D" w:rsidP="0029402D">
            <w:pPr>
              <w:pStyle w:val="ListParagraph"/>
              <w:numPr>
                <w:ilvl w:val="0"/>
                <w:numId w:val="23"/>
              </w:numPr>
              <w:rPr>
                <w:rFonts w:ascii="Arial" w:hAnsi="Arial" w:cs="Arial"/>
                <w:bCs/>
              </w:rPr>
            </w:pPr>
            <w:r w:rsidRPr="0029402D">
              <w:rPr>
                <w:rFonts w:ascii="Arial" w:hAnsi="Arial" w:cs="Arial"/>
                <w:bCs/>
              </w:rPr>
              <w:t xml:space="preserve">For pain and inflammation - </w:t>
            </w:r>
            <w:r w:rsidR="00DC4F08">
              <w:rPr>
                <w:rFonts w:ascii="Arial" w:hAnsi="Arial" w:cs="Arial"/>
                <w:bCs/>
              </w:rPr>
              <w:t>B</w:t>
            </w:r>
            <w:r w:rsidR="005E3E08" w:rsidRPr="0029402D">
              <w:rPr>
                <w:rFonts w:ascii="Arial" w:hAnsi="Arial" w:cs="Arial"/>
                <w:bCs/>
              </w:rPr>
              <w:t>LACK.</w:t>
            </w:r>
          </w:p>
          <w:p w:rsidR="005D5AD0" w:rsidRDefault="005D5AD0" w:rsidP="00936F6F">
            <w:pPr>
              <w:rPr>
                <w:rFonts w:ascii="Arial" w:hAnsi="Arial" w:cs="Arial"/>
              </w:rPr>
            </w:pPr>
          </w:p>
          <w:p w:rsidR="00911D11" w:rsidRDefault="00911D11" w:rsidP="00911D11">
            <w:pPr>
              <w:pStyle w:val="ListParagraph"/>
              <w:numPr>
                <w:ilvl w:val="0"/>
                <w:numId w:val="23"/>
              </w:numPr>
              <w:rPr>
                <w:rFonts w:ascii="Arial" w:hAnsi="Arial" w:cs="Arial"/>
              </w:rPr>
            </w:pPr>
            <w:r>
              <w:rPr>
                <w:rFonts w:ascii="Arial" w:hAnsi="Arial" w:cs="Arial"/>
              </w:rPr>
              <w:t>For a</w:t>
            </w:r>
            <w:r w:rsidRPr="008C4964">
              <w:rPr>
                <w:rFonts w:ascii="Arial" w:hAnsi="Arial" w:cs="Arial"/>
              </w:rPr>
              <w:t>nkylosing spondylitis</w:t>
            </w:r>
            <w:r>
              <w:rPr>
                <w:rFonts w:ascii="Arial" w:hAnsi="Arial" w:cs="Arial"/>
              </w:rPr>
              <w:t xml:space="preserve"> – BLUE</w:t>
            </w:r>
          </w:p>
          <w:p w:rsidR="00911D11" w:rsidRDefault="00911D11" w:rsidP="00911D11">
            <w:pPr>
              <w:pStyle w:val="ListParagraph"/>
              <w:ind w:left="360"/>
              <w:rPr>
                <w:rFonts w:ascii="Arial" w:hAnsi="Arial" w:cs="Arial"/>
              </w:rPr>
            </w:pPr>
          </w:p>
          <w:p w:rsidR="005D5AD0" w:rsidRDefault="00911D11" w:rsidP="00911D11">
            <w:pPr>
              <w:pStyle w:val="ListParagraph"/>
              <w:numPr>
                <w:ilvl w:val="0"/>
                <w:numId w:val="23"/>
              </w:numPr>
              <w:rPr>
                <w:rFonts w:ascii="Arial" w:hAnsi="Arial" w:cs="Arial"/>
              </w:rPr>
            </w:pPr>
            <w:r>
              <w:rPr>
                <w:rFonts w:ascii="Arial" w:hAnsi="Arial" w:cs="Arial"/>
              </w:rPr>
              <w:t xml:space="preserve"> </w:t>
            </w:r>
            <w:r w:rsidR="0029402D">
              <w:rPr>
                <w:rFonts w:ascii="Arial" w:hAnsi="Arial" w:cs="Arial"/>
              </w:rPr>
              <w:t xml:space="preserve">For </w:t>
            </w:r>
            <w:r w:rsidR="00DC4F08">
              <w:rPr>
                <w:rFonts w:ascii="Arial" w:hAnsi="Arial" w:cs="Arial"/>
              </w:rPr>
              <w:t>use of the branded products, Celebrex® and Arcoxia® - BLACK</w:t>
            </w:r>
          </w:p>
          <w:p w:rsidR="008C4964" w:rsidRPr="0029402D" w:rsidRDefault="008C4964" w:rsidP="00911D11">
            <w:pPr>
              <w:pStyle w:val="ListParagraph"/>
              <w:ind w:left="360"/>
              <w:rPr>
                <w:rFonts w:ascii="Arial" w:hAnsi="Arial" w:cs="Arial"/>
              </w:rPr>
            </w:pPr>
          </w:p>
        </w:tc>
        <w:tc>
          <w:tcPr>
            <w:tcW w:w="4340" w:type="dxa"/>
            <w:shd w:val="clear" w:color="auto" w:fill="FFFFFF" w:themeFill="background1"/>
          </w:tcPr>
          <w:p w:rsidR="00A17114" w:rsidRDefault="00386F7F" w:rsidP="00DC4F08">
            <w:pPr>
              <w:pStyle w:val="ListParagraph"/>
              <w:numPr>
                <w:ilvl w:val="0"/>
                <w:numId w:val="24"/>
              </w:numPr>
              <w:rPr>
                <w:rFonts w:ascii="Arial" w:hAnsi="Arial" w:cs="Arial"/>
                <w:bCs/>
              </w:rPr>
            </w:pPr>
            <w:r w:rsidRPr="00DC4F08">
              <w:rPr>
                <w:rFonts w:ascii="Arial" w:hAnsi="Arial" w:cs="Arial"/>
                <w:bCs/>
              </w:rPr>
              <w:t xml:space="preserve">For patients with </w:t>
            </w:r>
            <w:r w:rsidR="008C4964">
              <w:rPr>
                <w:rFonts w:ascii="Arial" w:hAnsi="Arial" w:cs="Arial"/>
                <w:bCs/>
              </w:rPr>
              <w:t>pain and inflammation:</w:t>
            </w:r>
          </w:p>
          <w:p w:rsidR="00A17114" w:rsidRDefault="00A17114" w:rsidP="00A17114">
            <w:pPr>
              <w:pStyle w:val="ListParagraph"/>
              <w:ind w:left="360"/>
              <w:rPr>
                <w:rFonts w:ascii="Arial" w:hAnsi="Arial" w:cs="Arial"/>
                <w:bCs/>
              </w:rPr>
            </w:pPr>
          </w:p>
          <w:p w:rsidR="00386F7F" w:rsidRDefault="005D5AD0" w:rsidP="00A17114">
            <w:pPr>
              <w:pStyle w:val="ListParagraph"/>
              <w:ind w:left="360"/>
              <w:rPr>
                <w:rFonts w:ascii="Arial" w:hAnsi="Arial" w:cs="Arial"/>
                <w:bCs/>
              </w:rPr>
            </w:pPr>
            <w:r w:rsidRPr="00A80233">
              <w:rPr>
                <w:rFonts w:ascii="Arial" w:hAnsi="Arial" w:cs="Arial"/>
                <w:bCs/>
              </w:rPr>
              <w:t xml:space="preserve">GREEN </w:t>
            </w:r>
            <w:r w:rsidR="00A17114" w:rsidRPr="00A80233">
              <w:rPr>
                <w:rFonts w:ascii="Arial" w:hAnsi="Arial" w:cs="Arial"/>
                <w:bCs/>
              </w:rPr>
              <w:t>for</w:t>
            </w:r>
            <w:r w:rsidR="00A17114">
              <w:rPr>
                <w:rFonts w:ascii="Arial" w:hAnsi="Arial" w:cs="Arial"/>
                <w:bCs/>
              </w:rPr>
              <w:t xml:space="preserve"> both celecoxib and etoricoxib</w:t>
            </w:r>
          </w:p>
          <w:p w:rsidR="00A17114" w:rsidRDefault="00A17114" w:rsidP="00A17114">
            <w:pPr>
              <w:pStyle w:val="ListParagraph"/>
              <w:ind w:left="360"/>
              <w:rPr>
                <w:rFonts w:ascii="Arial" w:hAnsi="Arial" w:cs="Arial"/>
                <w:bCs/>
              </w:rPr>
            </w:pPr>
          </w:p>
          <w:p w:rsidR="00A17114" w:rsidRDefault="00A17114" w:rsidP="00A17114">
            <w:pPr>
              <w:pStyle w:val="ListParagraph"/>
              <w:ind w:left="360"/>
              <w:rPr>
                <w:rFonts w:ascii="Arial" w:hAnsi="Arial" w:cs="Arial"/>
                <w:bCs/>
              </w:rPr>
            </w:pPr>
            <w:r>
              <w:rPr>
                <w:rFonts w:ascii="Arial" w:hAnsi="Arial" w:cs="Arial"/>
                <w:bCs/>
              </w:rPr>
              <w:t>Or</w:t>
            </w:r>
          </w:p>
          <w:p w:rsidR="00A17114" w:rsidRDefault="00A17114" w:rsidP="00A17114">
            <w:pPr>
              <w:pStyle w:val="ListParagraph"/>
              <w:ind w:left="360"/>
              <w:rPr>
                <w:rFonts w:ascii="Arial" w:hAnsi="Arial" w:cs="Arial"/>
                <w:bCs/>
              </w:rPr>
            </w:pPr>
          </w:p>
          <w:p w:rsidR="00A17114" w:rsidRPr="00DC4F08" w:rsidRDefault="00A17114" w:rsidP="00A17114">
            <w:pPr>
              <w:pStyle w:val="ListParagraph"/>
              <w:ind w:left="360"/>
              <w:rPr>
                <w:rFonts w:ascii="Arial" w:hAnsi="Arial" w:cs="Arial"/>
                <w:bCs/>
              </w:rPr>
            </w:pPr>
            <w:r>
              <w:rPr>
                <w:rFonts w:ascii="Arial" w:hAnsi="Arial" w:cs="Arial"/>
                <w:bCs/>
              </w:rPr>
              <w:t xml:space="preserve">GREEN for </w:t>
            </w:r>
            <w:r w:rsidR="00CA43C3">
              <w:rPr>
                <w:rFonts w:ascii="Arial" w:hAnsi="Arial" w:cs="Arial"/>
                <w:bCs/>
              </w:rPr>
              <w:t xml:space="preserve">both </w:t>
            </w:r>
            <w:r>
              <w:rPr>
                <w:rFonts w:ascii="Arial" w:hAnsi="Arial" w:cs="Arial"/>
                <w:bCs/>
              </w:rPr>
              <w:t xml:space="preserve">celecoxib and </w:t>
            </w:r>
            <w:r w:rsidR="00A01A16">
              <w:rPr>
                <w:rFonts w:ascii="Arial" w:hAnsi="Arial" w:cs="Arial"/>
                <w:bCs/>
              </w:rPr>
              <w:t>etoricoxib</w:t>
            </w:r>
            <w:r w:rsidR="00CA43C3">
              <w:rPr>
                <w:rFonts w:ascii="Arial" w:hAnsi="Arial" w:cs="Arial"/>
                <w:bCs/>
              </w:rPr>
              <w:t>, with celecoxib as the preferred product.</w:t>
            </w:r>
          </w:p>
          <w:p w:rsidR="005E3E08" w:rsidRPr="005D5AD0" w:rsidRDefault="005E3E08" w:rsidP="005E3E08">
            <w:pPr>
              <w:rPr>
                <w:rFonts w:ascii="Arial" w:hAnsi="Arial" w:cs="Arial"/>
                <w:bCs/>
              </w:rPr>
            </w:pPr>
          </w:p>
          <w:p w:rsidR="00911D11" w:rsidRDefault="00911D11" w:rsidP="00DC4F08">
            <w:pPr>
              <w:pStyle w:val="ListParagraph"/>
              <w:numPr>
                <w:ilvl w:val="0"/>
                <w:numId w:val="24"/>
              </w:numPr>
              <w:rPr>
                <w:rFonts w:ascii="Arial" w:hAnsi="Arial" w:cs="Arial"/>
              </w:rPr>
            </w:pPr>
            <w:r>
              <w:rPr>
                <w:rFonts w:ascii="Arial" w:hAnsi="Arial" w:cs="Arial"/>
              </w:rPr>
              <w:t>For a</w:t>
            </w:r>
            <w:r w:rsidRPr="008C4964">
              <w:rPr>
                <w:rFonts w:ascii="Arial" w:hAnsi="Arial" w:cs="Arial"/>
              </w:rPr>
              <w:t>nkylosing spondylitis</w:t>
            </w:r>
            <w:r>
              <w:rPr>
                <w:rFonts w:ascii="Arial" w:hAnsi="Arial" w:cs="Arial"/>
              </w:rPr>
              <w:t xml:space="preserve"> - GREEN</w:t>
            </w:r>
            <w:r w:rsidRPr="00DC4F08">
              <w:rPr>
                <w:rFonts w:ascii="Arial" w:hAnsi="Arial" w:cs="Arial"/>
              </w:rPr>
              <w:t xml:space="preserve"> </w:t>
            </w:r>
          </w:p>
          <w:p w:rsidR="00911D11" w:rsidRDefault="00911D11" w:rsidP="00911D11">
            <w:pPr>
              <w:pStyle w:val="ListParagraph"/>
              <w:ind w:left="360"/>
              <w:rPr>
                <w:rFonts w:ascii="Arial" w:hAnsi="Arial" w:cs="Arial"/>
              </w:rPr>
            </w:pPr>
          </w:p>
          <w:p w:rsidR="00911D11" w:rsidRPr="00911D11" w:rsidRDefault="00DC4F08" w:rsidP="00911D11">
            <w:pPr>
              <w:pStyle w:val="ListParagraph"/>
              <w:numPr>
                <w:ilvl w:val="0"/>
                <w:numId w:val="24"/>
              </w:numPr>
              <w:rPr>
                <w:rFonts w:ascii="Arial" w:hAnsi="Arial" w:cs="Arial"/>
              </w:rPr>
            </w:pPr>
            <w:r w:rsidRPr="00911D11">
              <w:rPr>
                <w:rFonts w:ascii="Arial" w:hAnsi="Arial" w:cs="Arial"/>
              </w:rPr>
              <w:t>For use of the branded products, Celebrex® and Arcoxia® - BLACK</w:t>
            </w:r>
          </w:p>
        </w:tc>
      </w:tr>
      <w:tr w:rsidR="006164B2" w:rsidTr="00AB6BE4">
        <w:tblPrEx>
          <w:jc w:val="center"/>
          <w:tblInd w:w="0" w:type="dxa"/>
        </w:tblPrEx>
        <w:trPr>
          <w:trHeight w:val="397"/>
          <w:jc w:val="center"/>
        </w:trPr>
        <w:tc>
          <w:tcPr>
            <w:tcW w:w="10689" w:type="dxa"/>
            <w:gridSpan w:val="3"/>
            <w:shd w:val="clear" w:color="auto" w:fill="F2F2F2" w:themeFill="background1" w:themeFillShade="F2"/>
            <w:vAlign w:val="center"/>
          </w:tcPr>
          <w:p w:rsidR="006164B2" w:rsidRPr="0021247E" w:rsidRDefault="00AB6BE4" w:rsidP="0021247E">
            <w:pPr>
              <w:rPr>
                <w:rFonts w:ascii="Arial" w:hAnsi="Arial" w:cs="Arial"/>
              </w:rPr>
            </w:pPr>
            <w:r>
              <w:rPr>
                <w:rFonts w:ascii="Arial" w:hAnsi="Arial" w:cs="Arial"/>
                <w:b/>
              </w:rPr>
              <w:t>Reason for r</w:t>
            </w:r>
            <w:r w:rsidR="006164B2" w:rsidRPr="0021247E">
              <w:rPr>
                <w:rFonts w:ascii="Arial" w:hAnsi="Arial" w:cs="Arial"/>
                <w:b/>
              </w:rPr>
              <w:t>eques</w:t>
            </w:r>
            <w:r>
              <w:rPr>
                <w:rFonts w:ascii="Arial" w:hAnsi="Arial" w:cs="Arial"/>
                <w:b/>
              </w:rPr>
              <w:t>ted c</w:t>
            </w:r>
            <w:r w:rsidR="0021247E" w:rsidRPr="0021247E">
              <w:rPr>
                <w:rFonts w:ascii="Arial" w:hAnsi="Arial" w:cs="Arial"/>
                <w:b/>
              </w:rPr>
              <w:t>hange</w:t>
            </w:r>
          </w:p>
        </w:tc>
      </w:tr>
      <w:tr w:rsidR="0021247E" w:rsidTr="00CF65D1">
        <w:tblPrEx>
          <w:jc w:val="center"/>
          <w:tblInd w:w="0" w:type="dxa"/>
        </w:tblPrEx>
        <w:trPr>
          <w:trHeight w:val="867"/>
          <w:jc w:val="center"/>
        </w:trPr>
        <w:tc>
          <w:tcPr>
            <w:tcW w:w="10689" w:type="dxa"/>
            <w:gridSpan w:val="3"/>
          </w:tcPr>
          <w:p w:rsidR="00A92679" w:rsidRDefault="00A92679" w:rsidP="001A2967">
            <w:pPr>
              <w:rPr>
                <w:rFonts w:ascii="Arial" w:hAnsi="Arial" w:cs="Arial"/>
              </w:rPr>
            </w:pPr>
            <w:r>
              <w:rPr>
                <w:rFonts w:ascii="Arial" w:hAnsi="Arial" w:cs="Arial"/>
              </w:rPr>
              <w:t>At present, on the Surrey PAD:</w:t>
            </w:r>
          </w:p>
          <w:p w:rsidR="00A92679" w:rsidRDefault="00A92679" w:rsidP="001A2967">
            <w:pPr>
              <w:rPr>
                <w:rFonts w:ascii="Arial" w:hAnsi="Arial" w:cs="Arial"/>
              </w:rPr>
            </w:pPr>
          </w:p>
          <w:p w:rsidR="00E9018C" w:rsidRDefault="00E9018C" w:rsidP="00A92679">
            <w:pPr>
              <w:pStyle w:val="ListParagraph"/>
              <w:numPr>
                <w:ilvl w:val="0"/>
                <w:numId w:val="20"/>
              </w:numPr>
              <w:rPr>
                <w:rFonts w:ascii="Arial" w:hAnsi="Arial" w:cs="Arial"/>
              </w:rPr>
            </w:pPr>
            <w:r>
              <w:rPr>
                <w:rFonts w:ascii="Arial" w:hAnsi="Arial" w:cs="Arial"/>
              </w:rPr>
              <w:t>Celecoxib</w:t>
            </w:r>
            <w:r w:rsidRPr="00A92679">
              <w:rPr>
                <w:rFonts w:ascii="Arial" w:hAnsi="Arial" w:cs="Arial"/>
              </w:rPr>
              <w:t xml:space="preserve"> and </w:t>
            </w:r>
            <w:r>
              <w:rPr>
                <w:rFonts w:ascii="Arial" w:hAnsi="Arial" w:cs="Arial"/>
              </w:rPr>
              <w:t>e</w:t>
            </w:r>
            <w:r w:rsidRPr="00A92679">
              <w:rPr>
                <w:rFonts w:ascii="Arial" w:hAnsi="Arial" w:cs="Arial"/>
              </w:rPr>
              <w:t xml:space="preserve">toricoxib </w:t>
            </w:r>
            <w:r>
              <w:rPr>
                <w:rFonts w:ascii="Arial" w:hAnsi="Arial" w:cs="Arial"/>
              </w:rPr>
              <w:t>are</w:t>
            </w:r>
            <w:r w:rsidRPr="00A92679">
              <w:rPr>
                <w:rFonts w:ascii="Arial" w:hAnsi="Arial" w:cs="Arial"/>
              </w:rPr>
              <w:t xml:space="preserve"> BLACK for use in pain and inflammation </w:t>
            </w:r>
          </w:p>
          <w:p w:rsidR="00A92679" w:rsidRPr="00E9018C" w:rsidRDefault="00A92679" w:rsidP="00A92679">
            <w:pPr>
              <w:pStyle w:val="ListParagraph"/>
              <w:numPr>
                <w:ilvl w:val="0"/>
                <w:numId w:val="20"/>
              </w:numPr>
              <w:rPr>
                <w:rFonts w:ascii="Arial" w:hAnsi="Arial" w:cs="Arial"/>
              </w:rPr>
            </w:pPr>
            <w:r w:rsidRPr="00E9018C">
              <w:rPr>
                <w:rFonts w:ascii="Arial" w:hAnsi="Arial" w:cs="Arial"/>
              </w:rPr>
              <w:t>Celecoxib and etoricoxib are BLUE for use in ankylosing spondylitis</w:t>
            </w:r>
          </w:p>
          <w:p w:rsidR="00A92679" w:rsidRDefault="00A92679" w:rsidP="00A92679">
            <w:pPr>
              <w:pStyle w:val="ListParagraph"/>
              <w:numPr>
                <w:ilvl w:val="0"/>
                <w:numId w:val="20"/>
              </w:numPr>
              <w:rPr>
                <w:rFonts w:ascii="Arial" w:hAnsi="Arial" w:cs="Arial"/>
              </w:rPr>
            </w:pPr>
            <w:r w:rsidRPr="00A92679">
              <w:rPr>
                <w:rFonts w:ascii="Arial" w:hAnsi="Arial" w:cs="Arial"/>
              </w:rPr>
              <w:t>The use of the branded products, Celebrex® and Arcoxia® is BLACK</w:t>
            </w:r>
          </w:p>
          <w:p w:rsidR="007E3059" w:rsidRDefault="007E3059" w:rsidP="007E3059">
            <w:pPr>
              <w:rPr>
                <w:rFonts w:ascii="Arial" w:hAnsi="Arial" w:cs="Arial"/>
              </w:rPr>
            </w:pPr>
          </w:p>
          <w:p w:rsidR="0029430B" w:rsidRDefault="00D615CB" w:rsidP="007E3059">
            <w:pPr>
              <w:rPr>
                <w:rFonts w:ascii="Arial" w:hAnsi="Arial" w:cs="Arial"/>
              </w:rPr>
            </w:pPr>
            <w:r>
              <w:rPr>
                <w:rFonts w:ascii="Arial" w:hAnsi="Arial" w:cs="Arial"/>
              </w:rPr>
              <w:t>Use of COX-2 inhibitors is</w:t>
            </w:r>
            <w:r w:rsidR="007E3059">
              <w:rPr>
                <w:rFonts w:ascii="Arial" w:hAnsi="Arial" w:cs="Arial"/>
              </w:rPr>
              <w:t xml:space="preserve"> </w:t>
            </w:r>
            <w:r w:rsidR="00ED689D">
              <w:rPr>
                <w:rFonts w:ascii="Arial" w:hAnsi="Arial" w:cs="Arial"/>
              </w:rPr>
              <w:t xml:space="preserve">now </w:t>
            </w:r>
            <w:r w:rsidR="007E3059">
              <w:rPr>
                <w:rFonts w:ascii="Arial" w:hAnsi="Arial" w:cs="Arial"/>
              </w:rPr>
              <w:t xml:space="preserve">included in the </w:t>
            </w:r>
            <w:r>
              <w:rPr>
                <w:rFonts w:ascii="Arial" w:hAnsi="Arial" w:cs="Arial"/>
              </w:rPr>
              <w:t xml:space="preserve">following: </w:t>
            </w:r>
          </w:p>
          <w:p w:rsidR="0029430B" w:rsidRDefault="0029430B" w:rsidP="007E3059">
            <w:pPr>
              <w:rPr>
                <w:rFonts w:ascii="Arial" w:hAnsi="Arial" w:cs="Arial"/>
              </w:rPr>
            </w:pPr>
          </w:p>
          <w:p w:rsidR="0029430B" w:rsidRPr="0029430B" w:rsidRDefault="0029430B" w:rsidP="0029430B">
            <w:pPr>
              <w:pStyle w:val="ListParagraph"/>
              <w:numPr>
                <w:ilvl w:val="0"/>
                <w:numId w:val="30"/>
              </w:numPr>
              <w:rPr>
                <w:rFonts w:ascii="Arial" w:hAnsi="Arial" w:cs="Arial"/>
              </w:rPr>
            </w:pPr>
            <w:r>
              <w:rPr>
                <w:rFonts w:ascii="Arial" w:hAnsi="Arial" w:cs="Arial"/>
              </w:rPr>
              <w:t xml:space="preserve">NICE Osteoarthritis: </w:t>
            </w:r>
            <w:r w:rsidR="007E3059" w:rsidRPr="0029430B">
              <w:rPr>
                <w:rFonts w:ascii="Arial" w:hAnsi="Arial" w:cs="Arial"/>
              </w:rPr>
              <w:t>care and management Clinical guideline 177</w:t>
            </w:r>
            <w:r w:rsidR="002C1312" w:rsidRPr="0029430B">
              <w:rPr>
                <w:rFonts w:ascii="Arial" w:hAnsi="Arial" w:cs="Arial"/>
                <w:vertAlign w:val="superscript"/>
              </w:rPr>
              <w:t>2</w:t>
            </w:r>
          </w:p>
          <w:p w:rsidR="0029430B" w:rsidRPr="0029430B" w:rsidRDefault="00D615CB" w:rsidP="0029430B">
            <w:pPr>
              <w:pStyle w:val="ListParagraph"/>
              <w:numPr>
                <w:ilvl w:val="0"/>
                <w:numId w:val="30"/>
              </w:numPr>
              <w:rPr>
                <w:rFonts w:ascii="Arial" w:hAnsi="Arial" w:cs="Arial"/>
              </w:rPr>
            </w:pPr>
            <w:r w:rsidRPr="0029430B">
              <w:rPr>
                <w:rFonts w:ascii="Arial" w:hAnsi="Arial" w:cs="Arial"/>
              </w:rPr>
              <w:t xml:space="preserve">CKS </w:t>
            </w:r>
            <w:r w:rsidR="002C1312" w:rsidRPr="0029430B">
              <w:rPr>
                <w:rFonts w:ascii="Arial" w:hAnsi="Arial" w:cs="Arial"/>
              </w:rPr>
              <w:t>management of suspected rheumatoid arthritis in primary care</w:t>
            </w:r>
            <w:r w:rsidR="002C1312" w:rsidRPr="0029430B">
              <w:rPr>
                <w:rFonts w:ascii="Arial" w:hAnsi="Arial" w:cs="Arial"/>
                <w:vertAlign w:val="superscript"/>
              </w:rPr>
              <w:t>3</w:t>
            </w:r>
            <w:r w:rsidRPr="0029430B">
              <w:rPr>
                <w:rFonts w:ascii="Arial" w:hAnsi="Arial" w:cs="Arial"/>
              </w:rPr>
              <w:t xml:space="preserve"> and </w:t>
            </w:r>
          </w:p>
          <w:p w:rsidR="007E3059" w:rsidRPr="0029430B" w:rsidRDefault="00D615CB" w:rsidP="0029430B">
            <w:pPr>
              <w:pStyle w:val="ListParagraph"/>
              <w:numPr>
                <w:ilvl w:val="0"/>
                <w:numId w:val="30"/>
              </w:numPr>
              <w:rPr>
                <w:rFonts w:ascii="Arial" w:hAnsi="Arial" w:cs="Arial"/>
              </w:rPr>
            </w:pPr>
            <w:r w:rsidRPr="0029430B">
              <w:rPr>
                <w:rFonts w:ascii="Arial" w:hAnsi="Arial" w:cs="Arial"/>
              </w:rPr>
              <w:t xml:space="preserve">CKS </w:t>
            </w:r>
            <w:r w:rsidR="00ED689D" w:rsidRPr="0029430B">
              <w:rPr>
                <w:rFonts w:ascii="Arial" w:hAnsi="Arial" w:cs="Arial"/>
              </w:rPr>
              <w:t>a</w:t>
            </w:r>
            <w:r w:rsidRPr="0029430B">
              <w:rPr>
                <w:rFonts w:ascii="Arial" w:hAnsi="Arial" w:cs="Arial"/>
              </w:rPr>
              <w:t>nkylosing spondylitis</w:t>
            </w:r>
            <w:r w:rsidR="0029430B">
              <w:rPr>
                <w:rFonts w:ascii="Arial" w:hAnsi="Arial" w:cs="Arial"/>
                <w:vertAlign w:val="superscript"/>
              </w:rPr>
              <w:t>4</w:t>
            </w:r>
            <w:r w:rsidRPr="0029430B">
              <w:rPr>
                <w:rFonts w:ascii="Arial" w:hAnsi="Arial" w:cs="Arial"/>
              </w:rPr>
              <w:t>.</w:t>
            </w:r>
          </w:p>
          <w:p w:rsidR="008F1F75" w:rsidRPr="007E3059" w:rsidRDefault="008F1F75" w:rsidP="007E3059">
            <w:pPr>
              <w:rPr>
                <w:rFonts w:ascii="Arial" w:hAnsi="Arial" w:cs="Arial"/>
              </w:rPr>
            </w:pPr>
          </w:p>
          <w:p w:rsidR="007E3059" w:rsidRDefault="00212B16" w:rsidP="007E3059">
            <w:pPr>
              <w:rPr>
                <w:rFonts w:ascii="Arial" w:hAnsi="Arial" w:cs="Arial"/>
              </w:rPr>
            </w:pPr>
            <w:r>
              <w:rPr>
                <w:rFonts w:ascii="Arial" w:hAnsi="Arial" w:cs="Arial"/>
              </w:rPr>
              <w:t>The current BLACK status is limiting the use of COX-2 inhibitors which is included in national guidance, s</w:t>
            </w:r>
            <w:r w:rsidR="009B02BD">
              <w:rPr>
                <w:rFonts w:ascii="Arial" w:hAnsi="Arial" w:cs="Arial"/>
              </w:rPr>
              <w:t xml:space="preserve">o </w:t>
            </w:r>
            <w:r w:rsidR="007E3059">
              <w:rPr>
                <w:rFonts w:ascii="Arial" w:hAnsi="Arial" w:cs="Arial"/>
              </w:rPr>
              <w:t>the traffic light status on the Surrey PAD needs to be updated to reflect this guidance.</w:t>
            </w:r>
          </w:p>
          <w:p w:rsidR="00212B16" w:rsidRDefault="00212B16" w:rsidP="007E3059">
            <w:pPr>
              <w:rPr>
                <w:rFonts w:ascii="Arial" w:hAnsi="Arial" w:cs="Arial"/>
              </w:rPr>
            </w:pPr>
          </w:p>
          <w:p w:rsidR="00212B16" w:rsidRDefault="00212B16" w:rsidP="007E3059">
            <w:pPr>
              <w:rPr>
                <w:rFonts w:ascii="Arial" w:hAnsi="Arial" w:cs="Arial"/>
              </w:rPr>
            </w:pPr>
            <w:r>
              <w:rPr>
                <w:rFonts w:ascii="Arial" w:hAnsi="Arial" w:cs="Arial"/>
              </w:rPr>
              <w:t>A GREEN status would allow the use of COX-2 inhibitors in appropriate patients in primary care to manage pain and inflammation, particularly while the patient is waiting for a referral.</w:t>
            </w:r>
          </w:p>
          <w:p w:rsidR="0084159E" w:rsidRDefault="0084159E" w:rsidP="0084159E">
            <w:pPr>
              <w:rPr>
                <w:rFonts w:ascii="Arial" w:hAnsi="Arial" w:cs="Arial"/>
              </w:rPr>
            </w:pPr>
          </w:p>
          <w:p w:rsidR="007E3059" w:rsidRPr="00D615CB" w:rsidRDefault="007E3059" w:rsidP="0084159E">
            <w:pPr>
              <w:rPr>
                <w:rFonts w:ascii="Arial" w:hAnsi="Arial" w:cs="Arial"/>
                <w:u w:val="single"/>
              </w:rPr>
            </w:pPr>
            <w:r w:rsidRPr="00D615CB">
              <w:rPr>
                <w:rFonts w:ascii="Arial" w:hAnsi="Arial" w:cs="Arial"/>
                <w:u w:val="single"/>
              </w:rPr>
              <w:t>For osteoarthritis</w:t>
            </w:r>
            <w:r w:rsidR="00911D11" w:rsidRPr="00D615CB">
              <w:rPr>
                <w:rFonts w:ascii="Arial" w:hAnsi="Arial" w:cs="Arial"/>
                <w:u w:val="single"/>
                <w:vertAlign w:val="superscript"/>
              </w:rPr>
              <w:t>2</w:t>
            </w:r>
            <w:r w:rsidRPr="00D615CB">
              <w:rPr>
                <w:rFonts w:ascii="Arial" w:hAnsi="Arial" w:cs="Arial"/>
                <w:u w:val="single"/>
              </w:rPr>
              <w:t>:</w:t>
            </w:r>
          </w:p>
          <w:p w:rsidR="007E3059" w:rsidRDefault="007E3059" w:rsidP="0084159E">
            <w:pPr>
              <w:rPr>
                <w:rFonts w:ascii="Arial" w:hAnsi="Arial" w:cs="Arial"/>
              </w:rPr>
            </w:pPr>
          </w:p>
          <w:p w:rsidR="0084159E" w:rsidRDefault="00501848" w:rsidP="00501848">
            <w:pPr>
              <w:rPr>
                <w:rFonts w:ascii="Arial" w:hAnsi="Arial" w:cs="Arial"/>
              </w:rPr>
            </w:pPr>
            <w:r w:rsidRPr="00501848">
              <w:rPr>
                <w:rFonts w:ascii="Arial" w:hAnsi="Arial" w:cs="Arial"/>
              </w:rPr>
              <w:t>The NICE Osteoarthritis: care and management Clinical guideline</w:t>
            </w:r>
            <w:r>
              <w:rPr>
                <w:rFonts w:ascii="Arial" w:hAnsi="Arial" w:cs="Arial"/>
              </w:rPr>
              <w:t xml:space="preserve"> 177</w:t>
            </w:r>
            <w:r w:rsidRPr="00501848">
              <w:rPr>
                <w:rFonts w:ascii="Arial" w:hAnsi="Arial" w:cs="Arial"/>
              </w:rPr>
              <w:t>, p</w:t>
            </w:r>
            <w:r>
              <w:rPr>
                <w:rFonts w:ascii="Arial" w:hAnsi="Arial" w:cs="Arial"/>
              </w:rPr>
              <w:t xml:space="preserve">ublished: </w:t>
            </w:r>
            <w:r w:rsidRPr="00501848">
              <w:rPr>
                <w:rFonts w:ascii="Arial" w:hAnsi="Arial" w:cs="Arial"/>
              </w:rPr>
              <w:t>12 February 2014</w:t>
            </w:r>
            <w:r>
              <w:rPr>
                <w:rFonts w:ascii="Arial" w:hAnsi="Arial" w:cs="Arial"/>
                <w:vertAlign w:val="superscript"/>
              </w:rPr>
              <w:t>2</w:t>
            </w:r>
            <w:r w:rsidR="0029402D">
              <w:rPr>
                <w:rFonts w:ascii="Arial" w:hAnsi="Arial" w:cs="Arial"/>
                <w:vertAlign w:val="superscript"/>
              </w:rPr>
              <w:t xml:space="preserve"> </w:t>
            </w:r>
            <w:r w:rsidR="0029402D">
              <w:rPr>
                <w:rFonts w:ascii="Arial" w:hAnsi="Arial" w:cs="Arial"/>
              </w:rPr>
              <w:t>recommend the use of COX -2 inhibitors as follows:</w:t>
            </w:r>
          </w:p>
          <w:p w:rsidR="0029402D" w:rsidRDefault="0029402D" w:rsidP="0029402D">
            <w:pPr>
              <w:rPr>
                <w:rFonts w:ascii="Arial" w:hAnsi="Arial" w:cs="Arial"/>
              </w:rPr>
            </w:pPr>
          </w:p>
          <w:p w:rsidR="0029402D" w:rsidRDefault="0029402D" w:rsidP="0029402D">
            <w:pPr>
              <w:rPr>
                <w:rFonts w:ascii="Arial" w:hAnsi="Arial" w:cs="Arial"/>
              </w:rPr>
            </w:pPr>
            <w:r w:rsidRPr="0029402D">
              <w:rPr>
                <w:rFonts w:ascii="Arial" w:hAnsi="Arial" w:cs="Arial"/>
              </w:rPr>
              <w:t>NSAIDs and highly selective COX-2 inhibitors</w:t>
            </w:r>
          </w:p>
          <w:p w:rsidR="0029402D" w:rsidRPr="0029402D" w:rsidRDefault="0029402D" w:rsidP="0029402D">
            <w:pPr>
              <w:rPr>
                <w:rFonts w:ascii="Arial" w:hAnsi="Arial" w:cs="Arial"/>
              </w:rPr>
            </w:pPr>
          </w:p>
          <w:p w:rsidR="0029402D" w:rsidRPr="0029402D" w:rsidRDefault="0029402D" w:rsidP="0029402D">
            <w:pPr>
              <w:rPr>
                <w:rFonts w:ascii="Arial" w:hAnsi="Arial" w:cs="Arial"/>
              </w:rPr>
            </w:pPr>
            <w:r w:rsidRPr="0029402D">
              <w:rPr>
                <w:rFonts w:ascii="Arial" w:hAnsi="Arial" w:cs="Arial"/>
              </w:rPr>
              <w:t>Although NSAIDs and COX-2 inhibitors may be regarded as a single drug class of 'NSAIDs', these</w:t>
            </w:r>
          </w:p>
          <w:p w:rsidR="0029402D" w:rsidRDefault="0029402D" w:rsidP="0029402D">
            <w:pPr>
              <w:rPr>
                <w:rFonts w:ascii="Arial" w:hAnsi="Arial" w:cs="Arial"/>
              </w:rPr>
            </w:pPr>
            <w:r w:rsidRPr="0029402D">
              <w:rPr>
                <w:rFonts w:ascii="Arial" w:hAnsi="Arial" w:cs="Arial"/>
              </w:rPr>
              <w:t>recommendations use the two terms for clarity and because of the differences in side-effect profile.</w:t>
            </w:r>
          </w:p>
          <w:p w:rsidR="0029402D" w:rsidRPr="0029402D" w:rsidRDefault="0029402D" w:rsidP="0029402D">
            <w:pPr>
              <w:rPr>
                <w:rFonts w:ascii="Arial" w:hAnsi="Arial" w:cs="Arial"/>
              </w:rPr>
            </w:pPr>
          </w:p>
          <w:p w:rsidR="0029402D" w:rsidRDefault="0029402D" w:rsidP="0029402D">
            <w:pPr>
              <w:rPr>
                <w:rFonts w:ascii="Arial" w:hAnsi="Arial" w:cs="Arial"/>
              </w:rPr>
            </w:pPr>
            <w:r w:rsidRPr="0029402D">
              <w:rPr>
                <w:rFonts w:ascii="Arial" w:hAnsi="Arial" w:cs="Arial"/>
              </w:rPr>
              <w:t>1.5.6 Where paracetamol or topical NSAIDs are ineffective for pain relief for people</w:t>
            </w:r>
            <w:r>
              <w:rPr>
                <w:rFonts w:ascii="Arial" w:hAnsi="Arial" w:cs="Arial"/>
              </w:rPr>
              <w:t xml:space="preserve"> </w:t>
            </w:r>
            <w:r w:rsidRPr="0029402D">
              <w:rPr>
                <w:rFonts w:ascii="Arial" w:hAnsi="Arial" w:cs="Arial"/>
              </w:rPr>
              <w:t>with osteoarthritis, then substitution with an oral NSAID/COX-2 inhibitor</w:t>
            </w:r>
            <w:r>
              <w:rPr>
                <w:rFonts w:ascii="Arial" w:hAnsi="Arial" w:cs="Arial"/>
              </w:rPr>
              <w:t xml:space="preserve"> </w:t>
            </w:r>
            <w:r w:rsidRPr="0029402D">
              <w:rPr>
                <w:rFonts w:ascii="Arial" w:hAnsi="Arial" w:cs="Arial"/>
              </w:rPr>
              <w:t>should be considered. [2008]</w:t>
            </w:r>
          </w:p>
          <w:p w:rsidR="0029402D" w:rsidRDefault="0029402D" w:rsidP="0029402D">
            <w:pPr>
              <w:rPr>
                <w:rFonts w:ascii="Arial" w:hAnsi="Arial" w:cs="Arial"/>
              </w:rPr>
            </w:pPr>
          </w:p>
          <w:p w:rsidR="0029402D" w:rsidRDefault="0029402D" w:rsidP="0029402D">
            <w:pPr>
              <w:rPr>
                <w:rFonts w:ascii="Arial" w:hAnsi="Arial" w:cs="Arial"/>
              </w:rPr>
            </w:pPr>
            <w:r w:rsidRPr="0029402D">
              <w:rPr>
                <w:rFonts w:ascii="Arial" w:hAnsi="Arial" w:cs="Arial"/>
              </w:rPr>
              <w:t>1.5.7 Where paracetamol or topical NSAIDs provide insufficient pain relief for people</w:t>
            </w:r>
            <w:r>
              <w:rPr>
                <w:rFonts w:ascii="Arial" w:hAnsi="Arial" w:cs="Arial"/>
              </w:rPr>
              <w:t xml:space="preserve"> </w:t>
            </w:r>
            <w:r w:rsidRPr="0029402D">
              <w:rPr>
                <w:rFonts w:ascii="Arial" w:hAnsi="Arial" w:cs="Arial"/>
              </w:rPr>
              <w:t>with osteoarthritis, then the addition of an oral NSAID/COX-2 inhibitor to</w:t>
            </w:r>
            <w:r>
              <w:rPr>
                <w:rFonts w:ascii="Arial" w:hAnsi="Arial" w:cs="Arial"/>
              </w:rPr>
              <w:t xml:space="preserve"> </w:t>
            </w:r>
            <w:r w:rsidRPr="0029402D">
              <w:rPr>
                <w:rFonts w:ascii="Arial" w:hAnsi="Arial" w:cs="Arial"/>
              </w:rPr>
              <w:t>paracetamol should be considered. [2008]</w:t>
            </w:r>
          </w:p>
          <w:p w:rsidR="0029402D" w:rsidRPr="0029402D" w:rsidRDefault="0029402D" w:rsidP="0029402D">
            <w:pPr>
              <w:rPr>
                <w:rFonts w:ascii="Arial" w:hAnsi="Arial" w:cs="Arial"/>
              </w:rPr>
            </w:pPr>
          </w:p>
          <w:p w:rsidR="0029402D" w:rsidRDefault="0029402D" w:rsidP="0029402D">
            <w:pPr>
              <w:rPr>
                <w:rFonts w:ascii="Arial" w:hAnsi="Arial" w:cs="Arial"/>
              </w:rPr>
            </w:pPr>
            <w:r w:rsidRPr="0029402D">
              <w:rPr>
                <w:rFonts w:ascii="Arial" w:hAnsi="Arial" w:cs="Arial"/>
              </w:rPr>
              <w:t>1.5.8 Use oral NSAIDs/COX-2 inhibitors at the lowest effective dose for the shortest</w:t>
            </w:r>
            <w:r>
              <w:rPr>
                <w:rFonts w:ascii="Arial" w:hAnsi="Arial" w:cs="Arial"/>
              </w:rPr>
              <w:t xml:space="preserve"> </w:t>
            </w:r>
            <w:r w:rsidRPr="0029402D">
              <w:rPr>
                <w:rFonts w:ascii="Arial" w:hAnsi="Arial" w:cs="Arial"/>
              </w:rPr>
              <w:t>possible period of time. [2008]</w:t>
            </w:r>
          </w:p>
          <w:p w:rsidR="0029402D" w:rsidRPr="0029402D" w:rsidRDefault="0029402D" w:rsidP="0029402D">
            <w:pPr>
              <w:rPr>
                <w:rFonts w:ascii="Arial" w:hAnsi="Arial" w:cs="Arial"/>
              </w:rPr>
            </w:pPr>
          </w:p>
          <w:p w:rsidR="0029402D" w:rsidRDefault="0029402D" w:rsidP="0029402D">
            <w:pPr>
              <w:rPr>
                <w:rFonts w:ascii="Arial" w:hAnsi="Arial" w:cs="Arial"/>
              </w:rPr>
            </w:pPr>
            <w:r w:rsidRPr="0029402D">
              <w:rPr>
                <w:rFonts w:ascii="Arial" w:hAnsi="Arial" w:cs="Arial"/>
              </w:rPr>
              <w:t>1.5.9 When offering treatment with an oral NSAID/COX-2 inhibitor, the first choice</w:t>
            </w:r>
            <w:r>
              <w:rPr>
                <w:rFonts w:ascii="Arial" w:hAnsi="Arial" w:cs="Arial"/>
              </w:rPr>
              <w:t xml:space="preserve"> </w:t>
            </w:r>
            <w:r w:rsidRPr="0029402D">
              <w:rPr>
                <w:rFonts w:ascii="Arial" w:hAnsi="Arial" w:cs="Arial"/>
              </w:rPr>
              <w:t xml:space="preserve">should be either a </w:t>
            </w:r>
            <w:r w:rsidRPr="0029402D">
              <w:rPr>
                <w:rFonts w:ascii="Arial" w:hAnsi="Arial" w:cs="Arial"/>
              </w:rPr>
              <w:lastRenderedPageBreak/>
              <w:t>standard NSAID or a COX-2 inhibitor (other than etoricoxib</w:t>
            </w:r>
            <w:r>
              <w:rPr>
                <w:rFonts w:ascii="Arial" w:hAnsi="Arial" w:cs="Arial"/>
              </w:rPr>
              <w:t xml:space="preserve"> </w:t>
            </w:r>
            <w:r w:rsidRPr="0029402D">
              <w:rPr>
                <w:rFonts w:ascii="Arial" w:hAnsi="Arial" w:cs="Arial"/>
              </w:rPr>
              <w:t>60 mg). In either case, co-prescribe with a proton pump inhibitor (PPI), choosing</w:t>
            </w:r>
            <w:r>
              <w:rPr>
                <w:rFonts w:ascii="Arial" w:hAnsi="Arial" w:cs="Arial"/>
              </w:rPr>
              <w:t xml:space="preserve"> </w:t>
            </w:r>
            <w:r w:rsidRPr="0029402D">
              <w:rPr>
                <w:rFonts w:ascii="Arial" w:hAnsi="Arial" w:cs="Arial"/>
              </w:rPr>
              <w:t>the one with the lowest acquisition cost. [2008]</w:t>
            </w:r>
          </w:p>
          <w:p w:rsidR="0029402D" w:rsidRPr="0029402D" w:rsidRDefault="0029402D" w:rsidP="0029402D">
            <w:pPr>
              <w:rPr>
                <w:rFonts w:ascii="Arial" w:hAnsi="Arial" w:cs="Arial"/>
              </w:rPr>
            </w:pPr>
          </w:p>
          <w:p w:rsidR="0029402D" w:rsidRPr="0029402D" w:rsidRDefault="0029402D" w:rsidP="0029402D">
            <w:pPr>
              <w:rPr>
                <w:rFonts w:ascii="Arial" w:hAnsi="Arial" w:cs="Arial"/>
              </w:rPr>
            </w:pPr>
            <w:r w:rsidRPr="0029402D">
              <w:rPr>
                <w:rFonts w:ascii="Arial" w:hAnsi="Arial" w:cs="Arial"/>
              </w:rPr>
              <w:t>1.5.10 All oral NSAIDs/COX-2 inhibitors have analgesic effects of a similar magnitude</w:t>
            </w:r>
            <w:r>
              <w:rPr>
                <w:rFonts w:ascii="Arial" w:hAnsi="Arial" w:cs="Arial"/>
              </w:rPr>
              <w:t xml:space="preserve"> </w:t>
            </w:r>
            <w:r w:rsidRPr="0029402D">
              <w:rPr>
                <w:rFonts w:ascii="Arial" w:hAnsi="Arial" w:cs="Arial"/>
              </w:rPr>
              <w:t>but vary in their potential gastrointestinal, liver and cardio-renal toxicity; therefore, when choosing the agent and dose, take into account individual</w:t>
            </w:r>
            <w:r>
              <w:rPr>
                <w:rFonts w:ascii="Arial" w:hAnsi="Arial" w:cs="Arial"/>
              </w:rPr>
              <w:t xml:space="preserve"> </w:t>
            </w:r>
            <w:r w:rsidRPr="0029402D">
              <w:rPr>
                <w:rFonts w:ascii="Arial" w:hAnsi="Arial" w:cs="Arial"/>
              </w:rPr>
              <w:t>patient risk factors, including age. When prescribing these drugs, consideration</w:t>
            </w:r>
          </w:p>
          <w:p w:rsidR="0029402D" w:rsidRDefault="0029402D" w:rsidP="0029402D">
            <w:pPr>
              <w:rPr>
                <w:rFonts w:ascii="Arial" w:hAnsi="Arial" w:cs="Arial"/>
              </w:rPr>
            </w:pPr>
            <w:r w:rsidRPr="0029402D">
              <w:rPr>
                <w:rFonts w:ascii="Arial" w:hAnsi="Arial" w:cs="Arial"/>
              </w:rPr>
              <w:t>should be given to appropriate assessment and/or ongoing monitoring of these</w:t>
            </w:r>
            <w:r>
              <w:rPr>
                <w:rFonts w:ascii="Arial" w:hAnsi="Arial" w:cs="Arial"/>
              </w:rPr>
              <w:t xml:space="preserve"> </w:t>
            </w:r>
            <w:r w:rsidRPr="0029402D">
              <w:rPr>
                <w:rFonts w:ascii="Arial" w:hAnsi="Arial" w:cs="Arial"/>
              </w:rPr>
              <w:t>risk factors. [2008]</w:t>
            </w:r>
          </w:p>
          <w:p w:rsidR="0029402D" w:rsidRPr="0029402D" w:rsidRDefault="0029402D" w:rsidP="0029402D">
            <w:pPr>
              <w:rPr>
                <w:rFonts w:ascii="Arial" w:hAnsi="Arial" w:cs="Arial"/>
              </w:rPr>
            </w:pPr>
          </w:p>
          <w:p w:rsidR="0029402D" w:rsidRDefault="0029402D" w:rsidP="0029402D">
            <w:pPr>
              <w:rPr>
                <w:rFonts w:ascii="Arial" w:hAnsi="Arial" w:cs="Arial"/>
              </w:rPr>
            </w:pPr>
            <w:r w:rsidRPr="0029402D">
              <w:rPr>
                <w:rFonts w:ascii="Arial" w:hAnsi="Arial" w:cs="Arial"/>
              </w:rPr>
              <w:t>1.5.11 If a person with osteoarthritis needs to take low-dose aspirin, healthcare</w:t>
            </w:r>
            <w:r>
              <w:rPr>
                <w:rFonts w:ascii="Arial" w:hAnsi="Arial" w:cs="Arial"/>
              </w:rPr>
              <w:t xml:space="preserve"> </w:t>
            </w:r>
            <w:r w:rsidRPr="0029402D">
              <w:rPr>
                <w:rFonts w:ascii="Arial" w:hAnsi="Arial" w:cs="Arial"/>
              </w:rPr>
              <w:t>professionals should consider other analgesics before substituting or adding an</w:t>
            </w:r>
            <w:r>
              <w:rPr>
                <w:rFonts w:ascii="Arial" w:hAnsi="Arial" w:cs="Arial"/>
              </w:rPr>
              <w:t xml:space="preserve"> </w:t>
            </w:r>
            <w:r w:rsidRPr="0029402D">
              <w:rPr>
                <w:rFonts w:ascii="Arial" w:hAnsi="Arial" w:cs="Arial"/>
              </w:rPr>
              <w:t>NSAID or COX-2 inhibitor (with a PPI) if pain relief is ineffective or insufficient.[2008]</w:t>
            </w:r>
          </w:p>
          <w:p w:rsidR="00911D11" w:rsidRDefault="00911D11" w:rsidP="0029402D">
            <w:pPr>
              <w:rPr>
                <w:rFonts w:ascii="Arial" w:hAnsi="Arial" w:cs="Arial"/>
              </w:rPr>
            </w:pPr>
          </w:p>
          <w:p w:rsidR="00911D11" w:rsidRPr="00D615CB" w:rsidRDefault="00911D11" w:rsidP="0029402D">
            <w:pPr>
              <w:rPr>
                <w:rFonts w:ascii="Arial" w:hAnsi="Arial" w:cs="Arial"/>
                <w:u w:val="single"/>
              </w:rPr>
            </w:pPr>
            <w:r w:rsidRPr="00D615CB">
              <w:rPr>
                <w:rFonts w:ascii="Arial" w:hAnsi="Arial" w:cs="Arial"/>
                <w:u w:val="single"/>
              </w:rPr>
              <w:t>For rheumatoid arthritis</w:t>
            </w:r>
            <w:r w:rsidRPr="00D615CB">
              <w:rPr>
                <w:rFonts w:ascii="Arial" w:hAnsi="Arial" w:cs="Arial"/>
                <w:u w:val="single"/>
                <w:vertAlign w:val="superscript"/>
              </w:rPr>
              <w:t>3</w:t>
            </w:r>
            <w:r w:rsidRPr="00D615CB">
              <w:rPr>
                <w:rFonts w:ascii="Arial" w:hAnsi="Arial" w:cs="Arial"/>
                <w:u w:val="single"/>
              </w:rPr>
              <w:t>:</w:t>
            </w:r>
          </w:p>
          <w:p w:rsidR="0029402D" w:rsidRDefault="0029402D" w:rsidP="0029402D">
            <w:pPr>
              <w:rPr>
                <w:rFonts w:ascii="Arial" w:hAnsi="Arial" w:cs="Arial"/>
              </w:rPr>
            </w:pPr>
          </w:p>
          <w:p w:rsidR="00E9018C" w:rsidRDefault="00911D11" w:rsidP="0029402D">
            <w:pPr>
              <w:rPr>
                <w:rFonts w:ascii="Helvetica" w:hAnsi="Helvetica"/>
                <w:color w:val="0E0E0E"/>
              </w:rPr>
            </w:pPr>
            <w:r>
              <w:rPr>
                <w:rStyle w:val="Strong"/>
                <w:rFonts w:ascii="Helvetica" w:hAnsi="Helvetica"/>
                <w:color w:val="0E0E0E"/>
              </w:rPr>
              <w:t xml:space="preserve">Consider offering a nonsteroidal anti-inflammatory drug (NSAID) at the lowest effective dose for the shortest possible until a rheumatology appointment is available </w:t>
            </w:r>
            <w:r>
              <w:rPr>
                <w:rFonts w:ascii="Helvetica" w:hAnsi="Helvetica"/>
                <w:color w:val="0E0E0E"/>
              </w:rPr>
              <w:t>— for example, a standard NSAID such as ibuprofen, naproxen, or diclofenac, </w:t>
            </w:r>
            <w:r>
              <w:rPr>
                <w:rStyle w:val="Emphasis"/>
                <w:rFonts w:ascii="Helvetica" w:hAnsi="Helvetica"/>
                <w:color w:val="0E0E0E"/>
              </w:rPr>
              <w:t>or</w:t>
            </w:r>
            <w:r>
              <w:rPr>
                <w:rFonts w:ascii="Helvetica" w:hAnsi="Helvetica"/>
                <w:color w:val="0E0E0E"/>
              </w:rPr>
              <w:t> a coxib (such as celecoxib or etoricoxib).</w:t>
            </w:r>
          </w:p>
          <w:p w:rsidR="00D615CB" w:rsidRDefault="00D615CB" w:rsidP="0029402D">
            <w:pPr>
              <w:rPr>
                <w:rFonts w:ascii="Helvetica" w:hAnsi="Helvetica"/>
                <w:color w:val="0E0E0E"/>
              </w:rPr>
            </w:pPr>
          </w:p>
          <w:p w:rsidR="00D615CB" w:rsidRPr="00D615CB" w:rsidRDefault="00D615CB" w:rsidP="0029402D">
            <w:pPr>
              <w:rPr>
                <w:rFonts w:ascii="Helvetica" w:hAnsi="Helvetica"/>
                <w:color w:val="0E0E0E"/>
                <w:u w:val="single"/>
              </w:rPr>
            </w:pPr>
            <w:r w:rsidRPr="00D615CB">
              <w:rPr>
                <w:rFonts w:ascii="Helvetica" w:hAnsi="Helvetica"/>
                <w:color w:val="0E0E0E"/>
                <w:u w:val="single"/>
              </w:rPr>
              <w:t>For ankylosing spondylitis</w:t>
            </w:r>
            <w:r w:rsidRPr="00D615CB">
              <w:rPr>
                <w:rFonts w:ascii="Helvetica" w:hAnsi="Helvetica"/>
                <w:color w:val="0E0E0E"/>
                <w:u w:val="single"/>
                <w:vertAlign w:val="superscript"/>
              </w:rPr>
              <w:t>4</w:t>
            </w:r>
            <w:r w:rsidRPr="00D615CB">
              <w:rPr>
                <w:rFonts w:ascii="Helvetica" w:hAnsi="Helvetica"/>
                <w:color w:val="0E0E0E"/>
                <w:u w:val="single"/>
              </w:rPr>
              <w:t>:</w:t>
            </w:r>
          </w:p>
          <w:p w:rsidR="00D615CB" w:rsidRDefault="00D615CB" w:rsidP="0029402D">
            <w:pPr>
              <w:rPr>
                <w:rFonts w:ascii="Helvetica" w:hAnsi="Helvetica"/>
                <w:color w:val="0E0E0E"/>
              </w:rPr>
            </w:pPr>
          </w:p>
          <w:p w:rsidR="00D615CB" w:rsidRPr="00D615CB" w:rsidRDefault="00D615CB" w:rsidP="00D615CB">
            <w:pPr>
              <w:numPr>
                <w:ilvl w:val="0"/>
                <w:numId w:val="29"/>
              </w:numPr>
              <w:tabs>
                <w:tab w:val="num" w:pos="720"/>
              </w:tabs>
              <w:rPr>
                <w:rFonts w:ascii="Arial" w:hAnsi="Arial" w:cs="Arial"/>
              </w:rPr>
            </w:pPr>
            <w:r w:rsidRPr="00D615CB">
              <w:rPr>
                <w:rFonts w:ascii="Arial" w:hAnsi="Arial" w:cs="Arial"/>
                <w:b/>
                <w:bCs/>
              </w:rPr>
              <w:t>Consider prescribing a nonsteroidal anti-inflammatory drug (NSAID) </w:t>
            </w:r>
            <w:r w:rsidRPr="00D615CB">
              <w:rPr>
                <w:rFonts w:ascii="Arial" w:hAnsi="Arial" w:cs="Arial"/>
              </w:rPr>
              <w:t>such as ibuprofen or naproxen while waiting for referral. Take account of the person's risk of serious adverse effects, the safety profiles of individual standard NSAIDs or coxibs, the person's ability to tolerate individual NSAIDs, their other medications, and their preferences.</w:t>
            </w:r>
          </w:p>
          <w:p w:rsidR="00D615CB" w:rsidRPr="00D615CB" w:rsidRDefault="00D615CB" w:rsidP="00D615CB">
            <w:pPr>
              <w:numPr>
                <w:ilvl w:val="1"/>
                <w:numId w:val="29"/>
              </w:numPr>
              <w:tabs>
                <w:tab w:val="num" w:pos="1440"/>
              </w:tabs>
              <w:rPr>
                <w:rFonts w:ascii="Arial" w:hAnsi="Arial" w:cs="Arial"/>
              </w:rPr>
            </w:pPr>
            <w:r w:rsidRPr="00D615CB">
              <w:rPr>
                <w:rFonts w:ascii="Arial" w:hAnsi="Arial" w:cs="Arial"/>
              </w:rPr>
              <w:t>If NSAIDs are contraindicated, prescribe a standard analgesic (paracetamol with or without codeine).</w:t>
            </w:r>
          </w:p>
          <w:p w:rsidR="00D615CB" w:rsidRPr="00D615CB" w:rsidRDefault="00D615CB" w:rsidP="00D615CB">
            <w:pPr>
              <w:numPr>
                <w:ilvl w:val="1"/>
                <w:numId w:val="29"/>
              </w:numPr>
              <w:tabs>
                <w:tab w:val="num" w:pos="1440"/>
              </w:tabs>
              <w:rPr>
                <w:rFonts w:ascii="Arial" w:hAnsi="Arial" w:cs="Arial"/>
              </w:rPr>
            </w:pPr>
            <w:r w:rsidRPr="00D615CB">
              <w:rPr>
                <w:rFonts w:ascii="Arial" w:hAnsi="Arial" w:cs="Arial"/>
              </w:rPr>
              <w:t>If the person is at increased risk of gastrointestinal (GI) adverse effects, or is unable to tolerate NSAIDs because of GI adverse effects, prescribing options are:</w:t>
            </w:r>
          </w:p>
          <w:p w:rsidR="00D615CB" w:rsidRPr="00D615CB" w:rsidRDefault="00D615CB" w:rsidP="00D615CB">
            <w:pPr>
              <w:numPr>
                <w:ilvl w:val="2"/>
                <w:numId w:val="29"/>
              </w:numPr>
              <w:tabs>
                <w:tab w:val="num" w:pos="2160"/>
              </w:tabs>
              <w:rPr>
                <w:rFonts w:ascii="Arial" w:hAnsi="Arial" w:cs="Arial"/>
              </w:rPr>
            </w:pPr>
            <w:r w:rsidRPr="00D615CB">
              <w:rPr>
                <w:rFonts w:ascii="Arial" w:hAnsi="Arial" w:cs="Arial"/>
              </w:rPr>
              <w:t>A standard NSAID together with a proton pump inhibitor (PPI).</w:t>
            </w:r>
          </w:p>
          <w:p w:rsidR="00D615CB" w:rsidRPr="00D615CB" w:rsidRDefault="00D615CB" w:rsidP="00D615CB">
            <w:pPr>
              <w:numPr>
                <w:ilvl w:val="2"/>
                <w:numId w:val="29"/>
              </w:numPr>
              <w:tabs>
                <w:tab w:val="num" w:pos="2160"/>
              </w:tabs>
              <w:rPr>
                <w:rFonts w:ascii="Arial" w:hAnsi="Arial" w:cs="Arial"/>
              </w:rPr>
            </w:pPr>
            <w:r w:rsidRPr="00D615CB">
              <w:rPr>
                <w:rFonts w:ascii="Arial" w:hAnsi="Arial" w:cs="Arial"/>
              </w:rPr>
              <w:t>A coxib with a PPI.</w:t>
            </w:r>
          </w:p>
          <w:p w:rsidR="00D615CB" w:rsidRPr="00D615CB" w:rsidRDefault="00D615CB" w:rsidP="00D615CB">
            <w:pPr>
              <w:numPr>
                <w:ilvl w:val="2"/>
                <w:numId w:val="29"/>
              </w:numPr>
              <w:tabs>
                <w:tab w:val="num" w:pos="2160"/>
              </w:tabs>
              <w:rPr>
                <w:rFonts w:ascii="Arial" w:hAnsi="Arial" w:cs="Arial"/>
              </w:rPr>
            </w:pPr>
            <w:r w:rsidRPr="00D615CB">
              <w:rPr>
                <w:rFonts w:ascii="Arial" w:hAnsi="Arial" w:cs="Arial"/>
              </w:rPr>
              <w:t>A standard analgesic (paracetamol with or without codeine).</w:t>
            </w:r>
          </w:p>
          <w:p w:rsidR="00D615CB" w:rsidRDefault="00D615CB" w:rsidP="0029402D">
            <w:pPr>
              <w:rPr>
                <w:rFonts w:ascii="Arial" w:hAnsi="Arial" w:cs="Arial"/>
              </w:rPr>
            </w:pPr>
          </w:p>
          <w:p w:rsidR="000D5E3E" w:rsidRDefault="00ED689D" w:rsidP="00ED689D">
            <w:pPr>
              <w:shd w:val="clear" w:color="auto" w:fill="FFFFFF"/>
              <w:rPr>
                <w:rFonts w:ascii="Arial" w:eastAsia="Times New Roman" w:hAnsi="Arial" w:cs="Arial"/>
                <w:lang w:val="en"/>
              </w:rPr>
            </w:pPr>
            <w:r>
              <w:rPr>
                <w:rFonts w:ascii="Arial" w:hAnsi="Arial" w:cs="Arial"/>
              </w:rPr>
              <w:t xml:space="preserve">Please note: Celecoxib and etoricoxib are both licensed for use in osteoarthritis, rheumatoid arthritis and ankylosing spondylitis. Etoricoxib in addition is licensed for use </w:t>
            </w:r>
            <w:r w:rsidRPr="00ED689D">
              <w:rPr>
                <w:rFonts w:ascii="Arial" w:hAnsi="Arial" w:cs="Arial"/>
              </w:rPr>
              <w:t xml:space="preserve">in </w:t>
            </w:r>
            <w:r>
              <w:rPr>
                <w:rFonts w:ascii="Arial" w:eastAsia="Times New Roman" w:hAnsi="Arial" w:cs="Arial"/>
                <w:iCs/>
                <w:lang w:val="en"/>
              </w:rPr>
              <w:t>a</w:t>
            </w:r>
            <w:r w:rsidRPr="00ED689D">
              <w:rPr>
                <w:rFonts w:ascii="Arial" w:eastAsia="Times New Roman" w:hAnsi="Arial" w:cs="Arial"/>
                <w:iCs/>
                <w:lang w:val="en"/>
              </w:rPr>
              <w:t>cute pain conditions</w:t>
            </w:r>
            <w:r>
              <w:rPr>
                <w:rFonts w:ascii="Arial" w:eastAsia="Times New Roman" w:hAnsi="Arial" w:cs="Arial"/>
                <w:lang w:val="en"/>
              </w:rPr>
              <w:t>, a</w:t>
            </w:r>
            <w:r w:rsidRPr="00ED689D">
              <w:rPr>
                <w:rFonts w:ascii="Arial" w:eastAsia="Times New Roman" w:hAnsi="Arial" w:cs="Arial"/>
                <w:iCs/>
                <w:lang w:val="en"/>
              </w:rPr>
              <w:t>cute gouty arthritis</w:t>
            </w:r>
            <w:r w:rsidRPr="00ED689D">
              <w:rPr>
                <w:rFonts w:ascii="Arial" w:eastAsia="Times New Roman" w:hAnsi="Arial" w:cs="Arial"/>
                <w:lang w:val="en"/>
              </w:rPr>
              <w:t xml:space="preserve"> and </w:t>
            </w:r>
            <w:r>
              <w:rPr>
                <w:rFonts w:ascii="Arial" w:eastAsia="Times New Roman" w:hAnsi="Arial" w:cs="Arial"/>
                <w:iCs/>
                <w:lang w:val="en"/>
              </w:rPr>
              <w:t>p</w:t>
            </w:r>
            <w:r w:rsidRPr="00ED689D">
              <w:rPr>
                <w:rFonts w:ascii="Arial" w:eastAsia="Times New Roman" w:hAnsi="Arial" w:cs="Arial"/>
                <w:iCs/>
                <w:lang w:val="en"/>
              </w:rPr>
              <w:t>ostoperative dental surgery pain</w:t>
            </w:r>
            <w:r>
              <w:rPr>
                <w:rFonts w:ascii="Arial" w:eastAsia="Times New Roman" w:hAnsi="Arial" w:cs="Arial"/>
                <w:lang w:val="en"/>
              </w:rPr>
              <w:t>.</w:t>
            </w:r>
          </w:p>
          <w:p w:rsidR="008B06DD" w:rsidRPr="00936F6F" w:rsidRDefault="008B06DD" w:rsidP="00ED689D">
            <w:pPr>
              <w:shd w:val="clear" w:color="auto" w:fill="FFFFFF"/>
              <w:rPr>
                <w:rFonts w:ascii="Arial" w:hAnsi="Arial" w:cs="Arial"/>
                <w:b/>
              </w:rPr>
            </w:pPr>
          </w:p>
        </w:tc>
      </w:tr>
      <w:tr w:rsidR="006164B2" w:rsidTr="00AB6BE4">
        <w:tblPrEx>
          <w:jc w:val="center"/>
          <w:tblInd w:w="0" w:type="dxa"/>
        </w:tblPrEx>
        <w:trPr>
          <w:trHeight w:val="454"/>
          <w:jc w:val="center"/>
        </w:trPr>
        <w:tc>
          <w:tcPr>
            <w:tcW w:w="10689" w:type="dxa"/>
            <w:gridSpan w:val="3"/>
            <w:shd w:val="clear" w:color="auto" w:fill="F2F2F2" w:themeFill="background1" w:themeFillShade="F2"/>
            <w:vAlign w:val="center"/>
          </w:tcPr>
          <w:p w:rsidR="006164B2" w:rsidRPr="00936F6F" w:rsidRDefault="0021247E" w:rsidP="00AB6BE4">
            <w:pPr>
              <w:jc w:val="center"/>
              <w:rPr>
                <w:rFonts w:ascii="Arial" w:hAnsi="Arial" w:cs="Arial"/>
              </w:rPr>
            </w:pPr>
            <w:r w:rsidRPr="00AB6BE4">
              <w:rPr>
                <w:rFonts w:ascii="Arial" w:hAnsi="Arial" w:cs="Arial"/>
                <w:b/>
                <w:sz w:val="28"/>
              </w:rPr>
              <w:lastRenderedPageBreak/>
              <w:t>Key Considerations</w:t>
            </w:r>
          </w:p>
        </w:tc>
      </w:tr>
      <w:tr w:rsidR="0021247E" w:rsidTr="00AB6BE4">
        <w:tblPrEx>
          <w:jc w:val="center"/>
          <w:tblInd w:w="0" w:type="dxa"/>
        </w:tblPrEx>
        <w:trPr>
          <w:trHeight w:val="397"/>
          <w:jc w:val="center"/>
        </w:trPr>
        <w:tc>
          <w:tcPr>
            <w:tcW w:w="10689" w:type="dxa"/>
            <w:gridSpan w:val="3"/>
            <w:shd w:val="clear" w:color="auto" w:fill="F2F2F2" w:themeFill="background1" w:themeFillShade="F2"/>
            <w:vAlign w:val="center"/>
          </w:tcPr>
          <w:p w:rsidR="00AB6BE4" w:rsidRPr="00082EBF" w:rsidRDefault="0021247E" w:rsidP="00AB6BE4">
            <w:pPr>
              <w:rPr>
                <w:rFonts w:ascii="Arial" w:hAnsi="Arial" w:cs="Arial"/>
                <w:b/>
              </w:rPr>
            </w:pPr>
            <w:r w:rsidRPr="0021247E">
              <w:rPr>
                <w:rFonts w:ascii="Arial" w:eastAsiaTheme="minorHAnsi" w:hAnsi="Arial" w:cs="Arial"/>
                <w:b/>
                <w:lang w:eastAsia="en-US"/>
              </w:rPr>
              <w:t>Cost</w:t>
            </w:r>
            <w:r>
              <w:rPr>
                <w:rFonts w:ascii="Arial" w:eastAsiaTheme="minorHAnsi" w:hAnsi="Arial" w:cs="Arial"/>
                <w:b/>
                <w:lang w:eastAsia="en-US"/>
              </w:rPr>
              <w:t xml:space="preserve"> implications to the local health economy</w:t>
            </w:r>
          </w:p>
        </w:tc>
      </w:tr>
      <w:tr w:rsidR="001643F2" w:rsidTr="00ED689D">
        <w:tblPrEx>
          <w:jc w:val="center"/>
          <w:tblInd w:w="0" w:type="dxa"/>
        </w:tblPrEx>
        <w:trPr>
          <w:trHeight w:val="1434"/>
          <w:jc w:val="center"/>
        </w:trPr>
        <w:tc>
          <w:tcPr>
            <w:tcW w:w="10689" w:type="dxa"/>
            <w:gridSpan w:val="3"/>
            <w:vAlign w:val="center"/>
          </w:tcPr>
          <w:p w:rsidR="001643F2" w:rsidRDefault="001643F2" w:rsidP="005865F3">
            <w:pPr>
              <w:rPr>
                <w:rFonts w:ascii="Arial" w:hAnsi="Arial" w:cs="Arial"/>
                <w:b/>
              </w:rPr>
            </w:pPr>
            <w:r w:rsidRPr="00674B8B">
              <w:rPr>
                <w:rFonts w:ascii="Arial" w:hAnsi="Arial" w:cs="Arial"/>
                <w:b/>
              </w:rPr>
              <w:t>Cost</w:t>
            </w:r>
            <w:r>
              <w:rPr>
                <w:rFonts w:ascii="Arial" w:hAnsi="Arial" w:cs="Arial"/>
                <w:b/>
              </w:rPr>
              <w:t xml:space="preserve"> of product</w:t>
            </w:r>
            <w:r w:rsidR="008B06DD">
              <w:rPr>
                <w:rFonts w:ascii="Arial" w:hAnsi="Arial" w:cs="Arial"/>
                <w:b/>
                <w:vertAlign w:val="superscript"/>
              </w:rPr>
              <w:t>5</w:t>
            </w:r>
            <w:r w:rsidR="00AE542B">
              <w:rPr>
                <w:rFonts w:ascii="Arial" w:hAnsi="Arial" w:cs="Arial"/>
                <w:b/>
                <w:vertAlign w:val="superscript"/>
              </w:rPr>
              <w:t xml:space="preserve"> </w:t>
            </w:r>
            <w:r>
              <w:rPr>
                <w:rFonts w:ascii="Arial" w:hAnsi="Arial" w:cs="Arial"/>
                <w:b/>
              </w:rPr>
              <w:t>:</w:t>
            </w:r>
          </w:p>
          <w:p w:rsidR="00880DEA" w:rsidRPr="00A077C4" w:rsidRDefault="00880DEA" w:rsidP="00880DEA">
            <w:pPr>
              <w:rPr>
                <w:rFonts w:ascii="Arial" w:hAnsi="Arial" w:cs="Arial"/>
              </w:rPr>
            </w:pPr>
          </w:p>
          <w:p w:rsidR="007327D0" w:rsidRDefault="00880DEA" w:rsidP="005865F3">
            <w:pPr>
              <w:rPr>
                <w:rFonts w:ascii="Arial" w:hAnsi="Arial" w:cs="Arial"/>
                <w:b/>
              </w:rPr>
            </w:pPr>
            <w:r>
              <w:rPr>
                <w:rFonts w:ascii="Arial" w:hAnsi="Arial" w:cs="Arial"/>
                <w:b/>
              </w:rPr>
              <w:t xml:space="preserve">Celecoxib </w:t>
            </w:r>
          </w:p>
          <w:p w:rsidR="00CC4C4E" w:rsidRDefault="00CC4C4E" w:rsidP="005865F3">
            <w:pPr>
              <w:rPr>
                <w:rFonts w:ascii="Helvetica" w:hAnsi="Helvetica" w:cs="Helvetica"/>
              </w:rPr>
            </w:pPr>
            <w:r w:rsidRPr="00D606DA">
              <w:rPr>
                <w:rFonts w:ascii="Helvetica" w:hAnsi="Helvetica" w:cs="Helvetica"/>
                <w:bCs/>
              </w:rPr>
              <w:t>Capsules</w:t>
            </w:r>
            <w:r w:rsidR="005C2322">
              <w:rPr>
                <w:rFonts w:ascii="Helvetica" w:hAnsi="Helvetica" w:cs="Helvetica"/>
              </w:rPr>
              <w:t>, celecoxib 100 mg</w:t>
            </w:r>
            <w:r w:rsidRPr="00D606DA">
              <w:rPr>
                <w:rFonts w:ascii="Helvetica" w:hAnsi="Helvetica" w:cs="Helvetica"/>
              </w:rPr>
              <w:t xml:space="preserve">, </w:t>
            </w:r>
            <w:hyperlink r:id="rId17" w:tooltip="Prices in the BNF" w:history="1">
              <w:r w:rsidRPr="00D606DA">
                <w:rPr>
                  <w:rFonts w:ascii="Helvetica" w:hAnsi="Helvetica" w:cs="Helvetica"/>
                </w:rPr>
                <w:t>net price</w:t>
              </w:r>
            </w:hyperlink>
            <w:r w:rsidRPr="00D606DA">
              <w:rPr>
                <w:rFonts w:ascii="Helvetica" w:hAnsi="Helvetica" w:cs="Helvetica"/>
              </w:rPr>
              <w:t xml:space="preserve"> 60-cap pack = £2</w:t>
            </w:r>
            <w:r w:rsidR="003143FB">
              <w:rPr>
                <w:rFonts w:ascii="Helvetica" w:hAnsi="Helvetica" w:cs="Helvetica"/>
              </w:rPr>
              <w:t>.72; 200 mg</w:t>
            </w:r>
            <w:r w:rsidRPr="00D606DA">
              <w:rPr>
                <w:rFonts w:ascii="Helvetica" w:hAnsi="Helvetica" w:cs="Helvetica"/>
              </w:rPr>
              <w:t>, 30-cap pack = £</w:t>
            </w:r>
            <w:r w:rsidR="003143FB">
              <w:rPr>
                <w:rFonts w:ascii="Helvetica" w:hAnsi="Helvetica" w:cs="Helvetica"/>
              </w:rPr>
              <w:t>1.01</w:t>
            </w:r>
          </w:p>
          <w:p w:rsidR="00880DEA" w:rsidRDefault="00880DEA" w:rsidP="005865F3">
            <w:pPr>
              <w:rPr>
                <w:rFonts w:ascii="Helvetica" w:hAnsi="Helvetica" w:cs="Helvetica"/>
              </w:rPr>
            </w:pPr>
          </w:p>
          <w:p w:rsidR="007327D0" w:rsidRDefault="00880DEA" w:rsidP="005865F3">
            <w:pPr>
              <w:rPr>
                <w:rFonts w:ascii="Arial" w:eastAsia="Times New Roman" w:hAnsi="Arial" w:cs="Arial"/>
                <w:b/>
                <w:bCs/>
              </w:rPr>
            </w:pPr>
            <w:r>
              <w:rPr>
                <w:rFonts w:ascii="Arial" w:eastAsia="Times New Roman" w:hAnsi="Arial" w:cs="Arial"/>
                <w:b/>
                <w:bCs/>
              </w:rPr>
              <w:t xml:space="preserve">Etoricoxib </w:t>
            </w:r>
          </w:p>
          <w:p w:rsidR="00E035A3" w:rsidRDefault="00CF016C" w:rsidP="00CF016C">
            <w:pPr>
              <w:autoSpaceDE w:val="0"/>
              <w:autoSpaceDN w:val="0"/>
              <w:adjustRightInd w:val="0"/>
              <w:rPr>
                <w:rFonts w:ascii="Arial" w:eastAsiaTheme="minorHAnsi" w:hAnsi="Arial" w:cs="Arial"/>
                <w:lang w:eastAsia="en-US"/>
              </w:rPr>
            </w:pPr>
            <w:r w:rsidRPr="00A077C4">
              <w:rPr>
                <w:rFonts w:ascii="Arial" w:eastAsiaTheme="minorHAnsi" w:hAnsi="Arial" w:cs="Arial"/>
                <w:lang w:eastAsia="en-US"/>
              </w:rPr>
              <w:t xml:space="preserve">Etoricoxib 30mg tablets </w:t>
            </w:r>
            <w:r w:rsidR="00E035A3">
              <w:rPr>
                <w:rFonts w:ascii="Arial" w:eastAsiaTheme="minorHAnsi" w:hAnsi="Arial" w:cs="Arial"/>
                <w:lang w:eastAsia="en-US"/>
              </w:rPr>
              <w:t xml:space="preserve">x </w:t>
            </w:r>
            <w:r w:rsidRPr="00A077C4">
              <w:rPr>
                <w:rFonts w:ascii="Arial" w:eastAsiaTheme="minorHAnsi" w:hAnsi="Arial" w:cs="Arial"/>
                <w:lang w:eastAsia="en-US"/>
              </w:rPr>
              <w:t xml:space="preserve">28 </w:t>
            </w:r>
            <w:r w:rsidR="005C6D60">
              <w:rPr>
                <w:rFonts w:ascii="Arial" w:eastAsiaTheme="minorHAnsi" w:hAnsi="Arial" w:cs="Arial"/>
                <w:lang w:eastAsia="en-US"/>
              </w:rPr>
              <w:t xml:space="preserve">= </w:t>
            </w:r>
            <w:r w:rsidR="00E035A3">
              <w:rPr>
                <w:rFonts w:ascii="Arial" w:eastAsiaTheme="minorHAnsi" w:hAnsi="Arial" w:cs="Arial"/>
                <w:lang w:eastAsia="en-US"/>
              </w:rPr>
              <w:t>£</w:t>
            </w:r>
            <w:r w:rsidR="006449BE">
              <w:rPr>
                <w:rFonts w:ascii="Arial" w:eastAsiaTheme="minorHAnsi" w:hAnsi="Arial" w:cs="Arial"/>
                <w:lang w:eastAsia="en-US"/>
              </w:rPr>
              <w:t>9.59</w:t>
            </w:r>
            <w:r w:rsidRPr="00A077C4">
              <w:rPr>
                <w:rFonts w:ascii="Arial" w:eastAsiaTheme="minorHAnsi" w:hAnsi="Arial" w:cs="Arial"/>
                <w:lang w:eastAsia="en-US"/>
              </w:rPr>
              <w:t xml:space="preserve">  </w:t>
            </w:r>
          </w:p>
          <w:p w:rsidR="00E035A3" w:rsidRPr="00A077C4" w:rsidRDefault="00CF016C" w:rsidP="00CF016C">
            <w:pPr>
              <w:autoSpaceDE w:val="0"/>
              <w:autoSpaceDN w:val="0"/>
              <w:adjustRightInd w:val="0"/>
              <w:rPr>
                <w:rFonts w:ascii="Arial" w:eastAsiaTheme="minorHAnsi" w:hAnsi="Arial" w:cs="Arial"/>
                <w:i/>
                <w:iCs/>
                <w:lang w:eastAsia="en-US"/>
              </w:rPr>
            </w:pPr>
            <w:r w:rsidRPr="00A077C4">
              <w:rPr>
                <w:rFonts w:ascii="Arial" w:eastAsiaTheme="minorHAnsi" w:hAnsi="Arial" w:cs="Arial"/>
                <w:lang w:eastAsia="en-US"/>
              </w:rPr>
              <w:t xml:space="preserve">Etoricoxib 60mg tablets </w:t>
            </w:r>
            <w:r w:rsidR="00E035A3">
              <w:rPr>
                <w:rFonts w:ascii="Arial" w:eastAsiaTheme="minorHAnsi" w:hAnsi="Arial" w:cs="Arial"/>
                <w:lang w:eastAsia="en-US"/>
              </w:rPr>
              <w:t xml:space="preserve">x </w:t>
            </w:r>
            <w:r w:rsidRPr="00A077C4">
              <w:rPr>
                <w:rFonts w:ascii="Arial" w:eastAsiaTheme="minorHAnsi" w:hAnsi="Arial" w:cs="Arial"/>
                <w:lang w:eastAsia="en-US"/>
              </w:rPr>
              <w:t xml:space="preserve">28 </w:t>
            </w:r>
            <w:r w:rsidR="005C6D60">
              <w:rPr>
                <w:rFonts w:ascii="Arial" w:eastAsiaTheme="minorHAnsi" w:hAnsi="Arial" w:cs="Arial"/>
                <w:lang w:eastAsia="en-US"/>
              </w:rPr>
              <w:t xml:space="preserve">= </w:t>
            </w:r>
            <w:r w:rsidR="00E035A3">
              <w:rPr>
                <w:rFonts w:ascii="Arial" w:eastAsiaTheme="minorHAnsi" w:hAnsi="Arial" w:cs="Arial"/>
                <w:lang w:eastAsia="en-US"/>
              </w:rPr>
              <w:t>£</w:t>
            </w:r>
            <w:r w:rsidR="006449BE">
              <w:rPr>
                <w:rFonts w:ascii="Arial" w:eastAsiaTheme="minorHAnsi" w:hAnsi="Arial" w:cs="Arial"/>
                <w:lang w:eastAsia="en-US"/>
              </w:rPr>
              <w:t>3.53</w:t>
            </w:r>
            <w:r w:rsidRPr="00A077C4">
              <w:rPr>
                <w:rFonts w:ascii="Arial" w:eastAsiaTheme="minorHAnsi" w:hAnsi="Arial" w:cs="Arial"/>
                <w:lang w:eastAsia="en-US"/>
              </w:rPr>
              <w:t xml:space="preserve">  </w:t>
            </w:r>
          </w:p>
          <w:p w:rsidR="00A077C4" w:rsidRPr="00A077C4" w:rsidRDefault="00CF016C" w:rsidP="00CF016C">
            <w:pPr>
              <w:rPr>
                <w:rFonts w:ascii="Arial" w:eastAsiaTheme="minorHAnsi" w:hAnsi="Arial" w:cs="Arial"/>
                <w:i/>
                <w:iCs/>
                <w:lang w:eastAsia="en-US"/>
              </w:rPr>
            </w:pPr>
            <w:r w:rsidRPr="00A077C4">
              <w:rPr>
                <w:rFonts w:ascii="Arial" w:eastAsiaTheme="minorHAnsi" w:hAnsi="Arial" w:cs="Arial"/>
                <w:lang w:eastAsia="en-US"/>
              </w:rPr>
              <w:t xml:space="preserve">Etoricoxib 90mg tablets </w:t>
            </w:r>
            <w:r w:rsidR="00E035A3">
              <w:rPr>
                <w:rFonts w:ascii="Arial" w:eastAsiaTheme="minorHAnsi" w:hAnsi="Arial" w:cs="Arial"/>
                <w:lang w:eastAsia="en-US"/>
              </w:rPr>
              <w:t xml:space="preserve">x </w:t>
            </w:r>
            <w:r w:rsidRPr="00A077C4">
              <w:rPr>
                <w:rFonts w:ascii="Arial" w:eastAsiaTheme="minorHAnsi" w:hAnsi="Arial" w:cs="Arial"/>
                <w:lang w:eastAsia="en-US"/>
              </w:rPr>
              <w:t xml:space="preserve">28 </w:t>
            </w:r>
            <w:r w:rsidR="005C6D60">
              <w:rPr>
                <w:rFonts w:ascii="Arial" w:eastAsiaTheme="minorHAnsi" w:hAnsi="Arial" w:cs="Arial"/>
                <w:lang w:eastAsia="en-US"/>
              </w:rPr>
              <w:t xml:space="preserve">= </w:t>
            </w:r>
            <w:r w:rsidR="00E035A3">
              <w:rPr>
                <w:rFonts w:ascii="Arial" w:eastAsiaTheme="minorHAnsi" w:hAnsi="Arial" w:cs="Arial"/>
                <w:lang w:eastAsia="en-US"/>
              </w:rPr>
              <w:t>£</w:t>
            </w:r>
            <w:r w:rsidR="006449BE">
              <w:rPr>
                <w:rFonts w:ascii="Arial" w:eastAsiaTheme="minorHAnsi" w:hAnsi="Arial" w:cs="Arial"/>
                <w:lang w:eastAsia="en-US"/>
              </w:rPr>
              <w:t>3.03</w:t>
            </w:r>
            <w:r w:rsidRPr="00A077C4">
              <w:rPr>
                <w:rFonts w:ascii="Arial" w:eastAsiaTheme="minorHAnsi" w:hAnsi="Arial" w:cs="Arial"/>
                <w:lang w:eastAsia="en-US"/>
              </w:rPr>
              <w:t xml:space="preserve">  </w:t>
            </w:r>
          </w:p>
          <w:p w:rsidR="006449BE" w:rsidRDefault="00080F86" w:rsidP="00080F86">
            <w:pPr>
              <w:autoSpaceDE w:val="0"/>
              <w:autoSpaceDN w:val="0"/>
              <w:adjustRightInd w:val="0"/>
              <w:rPr>
                <w:rFonts w:ascii="Arial" w:eastAsiaTheme="minorHAnsi" w:hAnsi="Arial" w:cs="Arial"/>
                <w:lang w:eastAsia="en-US"/>
              </w:rPr>
            </w:pPr>
            <w:r w:rsidRPr="00A077C4">
              <w:rPr>
                <w:rFonts w:ascii="Arial" w:eastAsiaTheme="minorHAnsi" w:hAnsi="Arial" w:cs="Arial"/>
                <w:lang w:eastAsia="en-US"/>
              </w:rPr>
              <w:t>Etoricoxib 120mg tablets</w:t>
            </w:r>
            <w:r>
              <w:rPr>
                <w:rFonts w:ascii="Arial" w:eastAsiaTheme="minorHAnsi" w:hAnsi="Arial" w:cs="Arial"/>
                <w:lang w:eastAsia="en-US"/>
              </w:rPr>
              <w:t xml:space="preserve"> x</w:t>
            </w:r>
            <w:r w:rsidRPr="00A077C4">
              <w:rPr>
                <w:rFonts w:ascii="Arial" w:eastAsiaTheme="minorHAnsi" w:hAnsi="Arial" w:cs="Arial"/>
                <w:lang w:eastAsia="en-US"/>
              </w:rPr>
              <w:t xml:space="preserve"> 28 </w:t>
            </w:r>
            <w:r w:rsidR="005C6D60">
              <w:rPr>
                <w:rFonts w:ascii="Arial" w:eastAsiaTheme="minorHAnsi" w:hAnsi="Arial" w:cs="Arial"/>
                <w:lang w:eastAsia="en-US"/>
              </w:rPr>
              <w:t xml:space="preserve">= </w:t>
            </w:r>
            <w:r>
              <w:rPr>
                <w:rFonts w:ascii="Arial" w:eastAsiaTheme="minorHAnsi" w:hAnsi="Arial" w:cs="Arial"/>
                <w:lang w:eastAsia="en-US"/>
              </w:rPr>
              <w:t>£</w:t>
            </w:r>
            <w:r w:rsidR="006449BE">
              <w:rPr>
                <w:rFonts w:ascii="Arial" w:eastAsiaTheme="minorHAnsi" w:hAnsi="Arial" w:cs="Arial"/>
                <w:lang w:eastAsia="en-US"/>
              </w:rPr>
              <w:t>13.82</w:t>
            </w:r>
          </w:p>
          <w:p w:rsidR="00880DEA" w:rsidRDefault="00080F86" w:rsidP="006449BE">
            <w:pPr>
              <w:autoSpaceDE w:val="0"/>
              <w:autoSpaceDN w:val="0"/>
              <w:adjustRightInd w:val="0"/>
              <w:rPr>
                <w:rFonts w:ascii="Arial" w:eastAsiaTheme="minorHAnsi" w:hAnsi="Arial" w:cs="Arial"/>
                <w:lang w:eastAsia="en-US"/>
              </w:rPr>
            </w:pPr>
            <w:r w:rsidRPr="00A077C4">
              <w:rPr>
                <w:rFonts w:ascii="Arial" w:eastAsiaTheme="minorHAnsi" w:hAnsi="Arial" w:cs="Arial"/>
                <w:lang w:eastAsia="en-US"/>
              </w:rPr>
              <w:t xml:space="preserve">  </w:t>
            </w:r>
          </w:p>
          <w:p w:rsidR="00ED689D" w:rsidRDefault="00ED689D" w:rsidP="006449BE">
            <w:pPr>
              <w:autoSpaceDE w:val="0"/>
              <w:autoSpaceDN w:val="0"/>
              <w:adjustRightInd w:val="0"/>
              <w:rPr>
                <w:rFonts w:ascii="Arial" w:eastAsiaTheme="minorHAnsi" w:hAnsi="Arial" w:cs="Arial"/>
                <w:lang w:eastAsia="en-US"/>
              </w:rPr>
            </w:pPr>
          </w:p>
          <w:p w:rsidR="00ED689D" w:rsidRDefault="00ED689D" w:rsidP="006449BE">
            <w:pPr>
              <w:autoSpaceDE w:val="0"/>
              <w:autoSpaceDN w:val="0"/>
              <w:adjustRightInd w:val="0"/>
              <w:rPr>
                <w:rFonts w:ascii="Arial" w:eastAsiaTheme="minorHAnsi" w:hAnsi="Arial" w:cs="Arial"/>
                <w:lang w:eastAsia="en-US"/>
              </w:rPr>
            </w:pPr>
          </w:p>
          <w:p w:rsidR="00ED689D" w:rsidRDefault="00ED689D" w:rsidP="006449BE">
            <w:pPr>
              <w:autoSpaceDE w:val="0"/>
              <w:autoSpaceDN w:val="0"/>
              <w:adjustRightInd w:val="0"/>
              <w:rPr>
                <w:rFonts w:ascii="Arial" w:eastAsiaTheme="minorHAnsi" w:hAnsi="Arial" w:cs="Arial"/>
                <w:lang w:eastAsia="en-US"/>
              </w:rPr>
            </w:pPr>
          </w:p>
          <w:p w:rsidR="00ED689D" w:rsidRDefault="00ED689D" w:rsidP="006449BE">
            <w:pPr>
              <w:autoSpaceDE w:val="0"/>
              <w:autoSpaceDN w:val="0"/>
              <w:adjustRightInd w:val="0"/>
              <w:rPr>
                <w:rFonts w:ascii="Arial" w:eastAsiaTheme="minorHAnsi" w:hAnsi="Arial" w:cs="Arial"/>
                <w:lang w:eastAsia="en-US"/>
              </w:rPr>
            </w:pPr>
          </w:p>
          <w:p w:rsidR="00ED689D" w:rsidRDefault="00ED689D" w:rsidP="006449BE">
            <w:pPr>
              <w:autoSpaceDE w:val="0"/>
              <w:autoSpaceDN w:val="0"/>
              <w:adjustRightInd w:val="0"/>
              <w:rPr>
                <w:rFonts w:ascii="Arial" w:eastAsiaTheme="minorHAnsi" w:hAnsi="Arial" w:cs="Arial"/>
                <w:lang w:eastAsia="en-US"/>
              </w:rPr>
            </w:pPr>
          </w:p>
          <w:p w:rsidR="00ED689D" w:rsidRDefault="00ED689D" w:rsidP="006449BE">
            <w:pPr>
              <w:autoSpaceDE w:val="0"/>
              <w:autoSpaceDN w:val="0"/>
              <w:adjustRightInd w:val="0"/>
              <w:rPr>
                <w:rFonts w:ascii="Arial" w:eastAsiaTheme="minorHAnsi" w:hAnsi="Arial" w:cs="Arial"/>
                <w:lang w:eastAsia="en-US"/>
              </w:rPr>
            </w:pPr>
          </w:p>
          <w:p w:rsidR="008A5AB5" w:rsidRDefault="008A5AB5" w:rsidP="006449BE">
            <w:pPr>
              <w:autoSpaceDE w:val="0"/>
              <w:autoSpaceDN w:val="0"/>
              <w:adjustRightInd w:val="0"/>
              <w:rPr>
                <w:rFonts w:ascii="Arial" w:eastAsiaTheme="minorHAnsi" w:hAnsi="Arial" w:cs="Arial"/>
                <w:lang w:eastAsia="en-US"/>
              </w:rPr>
            </w:pPr>
          </w:p>
          <w:p w:rsidR="0029430B" w:rsidRDefault="0029430B" w:rsidP="00183B7F">
            <w:pPr>
              <w:rPr>
                <w:rFonts w:ascii="Arial" w:hAnsi="Arial" w:cs="Arial"/>
                <w:b/>
              </w:rPr>
            </w:pPr>
          </w:p>
          <w:p w:rsidR="00C15FF4" w:rsidRDefault="00EF5594" w:rsidP="00183B7F">
            <w:pPr>
              <w:rPr>
                <w:rFonts w:ascii="Arial" w:hAnsi="Arial" w:cs="Arial"/>
                <w:b/>
              </w:rPr>
            </w:pPr>
            <w:r>
              <w:rPr>
                <w:rFonts w:ascii="Arial" w:hAnsi="Arial" w:cs="Arial"/>
                <w:b/>
              </w:rPr>
              <w:t>Monthly</w:t>
            </w:r>
            <w:r w:rsidR="001643F2" w:rsidRPr="00674B8B">
              <w:rPr>
                <w:rFonts w:ascii="Arial" w:hAnsi="Arial" w:cs="Arial"/>
                <w:b/>
              </w:rPr>
              <w:t xml:space="preserve"> cost per patient:</w:t>
            </w:r>
            <w:r w:rsidR="001643F2">
              <w:rPr>
                <w:rFonts w:ascii="Arial" w:hAnsi="Arial" w:cs="Arial"/>
                <w:b/>
              </w:rPr>
              <w:t xml:space="preserve"> </w:t>
            </w:r>
          </w:p>
          <w:p w:rsidR="00183B7F" w:rsidRDefault="00183B7F" w:rsidP="00183B7F">
            <w:pPr>
              <w:rPr>
                <w:rFonts w:ascii="Arial" w:hAnsi="Arial" w:cs="Arial"/>
                <w:b/>
              </w:rPr>
            </w:pPr>
          </w:p>
          <w:tbl>
            <w:tblPr>
              <w:tblW w:w="10347" w:type="dxa"/>
              <w:tblLook w:val="04A0" w:firstRow="1" w:lastRow="0" w:firstColumn="1" w:lastColumn="0" w:noHBand="0" w:noVBand="1"/>
            </w:tblPr>
            <w:tblGrid>
              <w:gridCol w:w="1134"/>
              <w:gridCol w:w="1984"/>
              <w:gridCol w:w="4716"/>
              <w:gridCol w:w="2513"/>
            </w:tblGrid>
            <w:tr w:rsidR="00183B7F" w:rsidRPr="00183B7F" w:rsidTr="00183B7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COXII</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Indication</w:t>
                  </w:r>
                </w:p>
              </w:tc>
              <w:tc>
                <w:tcPr>
                  <w:tcW w:w="4716" w:type="dxa"/>
                  <w:tcBorders>
                    <w:top w:val="single" w:sz="4" w:space="0" w:color="auto"/>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Dose</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Generic</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Celecoxib</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Osteoarthritis</w:t>
                  </w:r>
                </w:p>
              </w:tc>
              <w:tc>
                <w:tcPr>
                  <w:tcW w:w="4716"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200 mg taken once daily or in two divided dose</w:t>
                  </w:r>
                  <w:r>
                    <w:rPr>
                      <w:rFonts w:ascii="Calibri" w:eastAsia="Times New Roman" w:hAnsi="Calibri" w:cs="Calibri"/>
                      <w:color w:val="000000"/>
                    </w:rPr>
                    <w:t>s</w:t>
                  </w:r>
                </w:p>
              </w:tc>
              <w:tc>
                <w:tcPr>
                  <w:tcW w:w="2513"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£1.01 - £2.72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4716"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200 mg twice daily</w:t>
                  </w:r>
                </w:p>
              </w:tc>
              <w:tc>
                <w:tcPr>
                  <w:tcW w:w="2513"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2.02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RA</w:t>
                  </w:r>
                </w:p>
              </w:tc>
              <w:tc>
                <w:tcPr>
                  <w:tcW w:w="4716"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200mg taken in two divided doses</w:t>
                  </w:r>
                </w:p>
              </w:tc>
              <w:tc>
                <w:tcPr>
                  <w:tcW w:w="2513"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2.72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4716"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200mg twice daily</w:t>
                  </w:r>
                </w:p>
              </w:tc>
              <w:tc>
                <w:tcPr>
                  <w:tcW w:w="2513" w:type="dxa"/>
                  <w:tcBorders>
                    <w:top w:val="nil"/>
                    <w:left w:val="nil"/>
                    <w:bottom w:val="single" w:sz="4" w:space="0" w:color="auto"/>
                    <w:right w:val="single" w:sz="4" w:space="0" w:color="auto"/>
                  </w:tcBorders>
                  <w:shd w:val="clear" w:color="000000" w:fill="EEECE1"/>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2.02 </w:t>
                  </w:r>
                </w:p>
              </w:tc>
            </w:tr>
            <w:tr w:rsidR="00183B7F" w:rsidRPr="00183B7F" w:rsidTr="00183B7F">
              <w:trPr>
                <w:trHeight w:val="5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c>
                <w:tcPr>
                  <w:tcW w:w="4716"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 </w:t>
                  </w:r>
                </w:p>
              </w:tc>
              <w:tc>
                <w:tcPr>
                  <w:tcW w:w="2513"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Etoricoxib</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Osteoarthritis</w:t>
                  </w:r>
                </w:p>
              </w:tc>
              <w:tc>
                <w:tcPr>
                  <w:tcW w:w="4716"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30 mg once daily</w:t>
                  </w:r>
                </w:p>
              </w:tc>
              <w:tc>
                <w:tcPr>
                  <w:tcW w:w="2513"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9.59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w:t>
                  </w:r>
                </w:p>
              </w:tc>
              <w:tc>
                <w:tcPr>
                  <w:tcW w:w="4716"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60 mg once daily</w:t>
                  </w:r>
                </w:p>
              </w:tc>
              <w:tc>
                <w:tcPr>
                  <w:tcW w:w="2513"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3.53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jc w:val="center"/>
                    <w:rPr>
                      <w:rFonts w:ascii="Calibri" w:eastAsia="Times New Roman" w:hAnsi="Calibri" w:cs="Calibri"/>
                      <w:b/>
                      <w:bCs/>
                      <w:color w:val="000000"/>
                    </w:rPr>
                  </w:pPr>
                  <w:r w:rsidRPr="00183B7F">
                    <w:rPr>
                      <w:rFonts w:ascii="Calibri" w:eastAsia="Times New Roman" w:hAnsi="Calibri" w:cs="Calibri"/>
                      <w:b/>
                      <w:bCs/>
                      <w:color w:val="000000"/>
                    </w:rPr>
                    <w:t>RA</w:t>
                  </w:r>
                </w:p>
              </w:tc>
              <w:tc>
                <w:tcPr>
                  <w:tcW w:w="4716"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60mg once daily</w:t>
                  </w:r>
                </w:p>
              </w:tc>
              <w:tc>
                <w:tcPr>
                  <w:tcW w:w="2513"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3.53 </w:t>
                  </w:r>
                </w:p>
              </w:tc>
            </w:tr>
            <w:tr w:rsidR="00183B7F" w:rsidRPr="00183B7F" w:rsidTr="00183B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 </w:t>
                  </w:r>
                </w:p>
              </w:tc>
              <w:tc>
                <w:tcPr>
                  <w:tcW w:w="4716"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rPr>
                      <w:rFonts w:ascii="Calibri" w:eastAsia="Times New Roman" w:hAnsi="Calibri" w:cs="Calibri"/>
                      <w:color w:val="000000"/>
                    </w:rPr>
                  </w:pPr>
                  <w:r w:rsidRPr="00183B7F">
                    <w:rPr>
                      <w:rFonts w:ascii="Calibri" w:eastAsia="Times New Roman" w:hAnsi="Calibri" w:cs="Calibri"/>
                      <w:color w:val="000000"/>
                    </w:rPr>
                    <w:t>90mg once daily</w:t>
                  </w:r>
                </w:p>
              </w:tc>
              <w:tc>
                <w:tcPr>
                  <w:tcW w:w="2513" w:type="dxa"/>
                  <w:tcBorders>
                    <w:top w:val="nil"/>
                    <w:left w:val="nil"/>
                    <w:bottom w:val="single" w:sz="4" w:space="0" w:color="auto"/>
                    <w:right w:val="single" w:sz="4" w:space="0" w:color="auto"/>
                  </w:tcBorders>
                  <w:shd w:val="clear" w:color="000000" w:fill="C4BD97"/>
                  <w:noWrap/>
                  <w:vAlign w:val="center"/>
                  <w:hideMark/>
                </w:tcPr>
                <w:p w:rsidR="00183B7F" w:rsidRPr="00183B7F" w:rsidRDefault="00183B7F" w:rsidP="00183B7F">
                  <w:pPr>
                    <w:spacing w:after="0" w:line="240" w:lineRule="auto"/>
                    <w:jc w:val="center"/>
                    <w:rPr>
                      <w:rFonts w:ascii="Calibri" w:eastAsia="Times New Roman" w:hAnsi="Calibri" w:cs="Calibri"/>
                      <w:color w:val="000000"/>
                    </w:rPr>
                  </w:pPr>
                  <w:r w:rsidRPr="00183B7F">
                    <w:rPr>
                      <w:rFonts w:ascii="Calibri" w:eastAsia="Times New Roman" w:hAnsi="Calibri" w:cs="Calibri"/>
                      <w:color w:val="000000"/>
                    </w:rPr>
                    <w:t xml:space="preserve"> £                 3.03 </w:t>
                  </w:r>
                </w:p>
              </w:tc>
            </w:tr>
          </w:tbl>
          <w:p w:rsidR="00183B7F" w:rsidRDefault="00183B7F" w:rsidP="00183B7F">
            <w:pPr>
              <w:rPr>
                <w:rFonts w:ascii="Arial" w:hAnsi="Arial" w:cs="Arial"/>
                <w:b/>
              </w:rPr>
            </w:pPr>
          </w:p>
          <w:p w:rsidR="001643F2" w:rsidRPr="00674B8B" w:rsidRDefault="001643F2" w:rsidP="005865F3">
            <w:pPr>
              <w:rPr>
                <w:rFonts w:ascii="Arial" w:hAnsi="Arial" w:cs="Arial"/>
                <w:b/>
              </w:rPr>
            </w:pPr>
            <w:r w:rsidRPr="00674B8B">
              <w:rPr>
                <w:rFonts w:ascii="Arial" w:hAnsi="Arial" w:cs="Arial"/>
                <w:b/>
              </w:rPr>
              <w:t>Availability of PAS and details (if appropriate):</w:t>
            </w:r>
            <w:r>
              <w:rPr>
                <w:rFonts w:ascii="Arial" w:hAnsi="Arial" w:cs="Arial"/>
                <w:b/>
              </w:rPr>
              <w:t xml:space="preserve"> </w:t>
            </w:r>
            <w:r w:rsidR="004D12F4" w:rsidRPr="004D12F4">
              <w:rPr>
                <w:rFonts w:ascii="Arial" w:hAnsi="Arial" w:cs="Arial"/>
              </w:rPr>
              <w:t>No</w:t>
            </w:r>
            <w:r w:rsidR="004D12F4">
              <w:rPr>
                <w:rFonts w:ascii="Arial" w:hAnsi="Arial" w:cs="Arial"/>
              </w:rPr>
              <w:t>t</w:t>
            </w:r>
            <w:r w:rsidR="004D12F4" w:rsidRPr="004D12F4">
              <w:rPr>
                <w:rFonts w:ascii="Arial" w:hAnsi="Arial" w:cs="Arial"/>
              </w:rPr>
              <w:t xml:space="preserve"> applicable</w:t>
            </w:r>
            <w:r w:rsidR="00CF65D1">
              <w:rPr>
                <w:rFonts w:ascii="Arial" w:hAnsi="Arial" w:cs="Arial"/>
              </w:rPr>
              <w:t>.</w:t>
            </w:r>
          </w:p>
          <w:p w:rsidR="001643F2" w:rsidRPr="00674B8B" w:rsidRDefault="001643F2" w:rsidP="005865F3">
            <w:pPr>
              <w:rPr>
                <w:rFonts w:ascii="Arial" w:hAnsi="Arial" w:cs="Arial"/>
                <w:b/>
              </w:rPr>
            </w:pPr>
          </w:p>
          <w:p w:rsidR="002F7303" w:rsidRDefault="001643F2" w:rsidP="00ED689D">
            <w:pPr>
              <w:rPr>
                <w:rFonts w:ascii="Arial" w:hAnsi="Arial" w:cs="Arial"/>
              </w:rPr>
            </w:pPr>
            <w:r w:rsidRPr="00674B8B">
              <w:rPr>
                <w:rFonts w:ascii="Arial" w:hAnsi="Arial" w:cs="Arial"/>
                <w:b/>
              </w:rPr>
              <w:t>Availability of homecare service (if appropriate):</w:t>
            </w:r>
            <w:r>
              <w:rPr>
                <w:rFonts w:ascii="Arial" w:hAnsi="Arial" w:cs="Arial"/>
                <w:b/>
              </w:rPr>
              <w:t xml:space="preserve"> </w:t>
            </w:r>
            <w:r w:rsidR="00CF016C" w:rsidRPr="004D12F4">
              <w:rPr>
                <w:rFonts w:ascii="Arial" w:hAnsi="Arial" w:cs="Arial"/>
              </w:rPr>
              <w:t>N</w:t>
            </w:r>
            <w:r w:rsidR="004D12F4" w:rsidRPr="004D12F4">
              <w:rPr>
                <w:rFonts w:ascii="Arial" w:hAnsi="Arial" w:cs="Arial"/>
              </w:rPr>
              <w:t>o</w:t>
            </w:r>
            <w:r w:rsidR="004D12F4">
              <w:rPr>
                <w:rFonts w:ascii="Arial" w:hAnsi="Arial" w:cs="Arial"/>
              </w:rPr>
              <w:t>t applicable</w:t>
            </w:r>
            <w:r w:rsidR="00CF65D1">
              <w:rPr>
                <w:rFonts w:ascii="Arial" w:hAnsi="Arial" w:cs="Arial"/>
              </w:rPr>
              <w:t>.</w:t>
            </w:r>
          </w:p>
          <w:p w:rsidR="008B06DD" w:rsidRPr="00EF27AB" w:rsidRDefault="008B06DD" w:rsidP="00ED689D">
            <w:pPr>
              <w:rPr>
                <w:rFonts w:ascii="Arial" w:hAnsi="Arial" w:cs="Arial"/>
                <w:color w:val="1F497D" w:themeColor="text2"/>
              </w:rPr>
            </w:pPr>
          </w:p>
        </w:tc>
      </w:tr>
      <w:tr w:rsidR="00AB6BE4" w:rsidTr="00AB6BE4">
        <w:tblPrEx>
          <w:jc w:val="center"/>
          <w:tblInd w:w="0" w:type="dxa"/>
        </w:tblPrEx>
        <w:trPr>
          <w:trHeight w:val="397"/>
          <w:jc w:val="center"/>
        </w:trPr>
        <w:tc>
          <w:tcPr>
            <w:tcW w:w="10689" w:type="dxa"/>
            <w:gridSpan w:val="3"/>
            <w:shd w:val="clear" w:color="auto" w:fill="F2F2F2" w:themeFill="background1" w:themeFillShade="F2"/>
            <w:vAlign w:val="center"/>
          </w:tcPr>
          <w:p w:rsidR="00AB6BE4" w:rsidRPr="00AB6BE4" w:rsidRDefault="00AB6BE4" w:rsidP="0048749A">
            <w:pPr>
              <w:rPr>
                <w:rFonts w:ascii="Arial" w:hAnsi="Arial" w:cs="Arial"/>
                <w:b/>
              </w:rPr>
            </w:pPr>
            <w:r>
              <w:rPr>
                <w:rFonts w:ascii="Arial" w:hAnsi="Arial" w:cs="Arial"/>
                <w:b/>
              </w:rPr>
              <w:lastRenderedPageBreak/>
              <w:t xml:space="preserve">Impact to </w:t>
            </w:r>
            <w:r w:rsidR="0048749A">
              <w:rPr>
                <w:rFonts w:ascii="Arial" w:hAnsi="Arial" w:cs="Arial"/>
                <w:b/>
              </w:rPr>
              <w:t>current</w:t>
            </w:r>
            <w:r>
              <w:rPr>
                <w:rFonts w:ascii="Arial" w:hAnsi="Arial" w:cs="Arial"/>
                <w:b/>
              </w:rPr>
              <w:t xml:space="preserve"> prescriber or medication initiator  </w:t>
            </w:r>
          </w:p>
        </w:tc>
      </w:tr>
      <w:tr w:rsidR="00AB6BE4" w:rsidTr="00CA43C3">
        <w:tblPrEx>
          <w:jc w:val="center"/>
          <w:tblInd w:w="0" w:type="dxa"/>
        </w:tblPrEx>
        <w:trPr>
          <w:trHeight w:val="340"/>
          <w:jc w:val="center"/>
        </w:trPr>
        <w:tc>
          <w:tcPr>
            <w:tcW w:w="10689" w:type="dxa"/>
            <w:gridSpan w:val="3"/>
          </w:tcPr>
          <w:p w:rsidR="008B06DD" w:rsidRPr="008B06DD" w:rsidRDefault="00CA43C3" w:rsidP="008A5AB5">
            <w:pPr>
              <w:pStyle w:val="ListParagraph"/>
              <w:numPr>
                <w:ilvl w:val="0"/>
                <w:numId w:val="14"/>
              </w:numPr>
              <w:rPr>
                <w:rFonts w:ascii="Arial" w:hAnsi="Arial" w:cs="Arial"/>
              </w:rPr>
            </w:pPr>
            <w:r>
              <w:rPr>
                <w:rFonts w:ascii="Arial" w:hAnsi="Arial" w:cs="Arial"/>
              </w:rPr>
              <w:t xml:space="preserve">Current status is </w:t>
            </w:r>
            <w:r w:rsidR="008B06DD">
              <w:rPr>
                <w:rFonts w:ascii="Arial" w:hAnsi="Arial" w:cs="Arial"/>
              </w:rPr>
              <w:t xml:space="preserve">BLACK </w:t>
            </w:r>
            <w:r w:rsidR="008A5AB5">
              <w:rPr>
                <w:rFonts w:ascii="Arial" w:hAnsi="Arial" w:cs="Arial"/>
              </w:rPr>
              <w:t>(</w:t>
            </w:r>
            <w:r w:rsidR="008B06DD">
              <w:rPr>
                <w:rFonts w:ascii="Arial" w:hAnsi="Arial" w:cs="Arial"/>
              </w:rPr>
              <w:t>or BLUE for ankylosing spondylitis</w:t>
            </w:r>
            <w:r w:rsidR="008A5AB5">
              <w:rPr>
                <w:rFonts w:ascii="Arial" w:hAnsi="Arial" w:cs="Arial"/>
              </w:rPr>
              <w:t>)</w:t>
            </w:r>
            <w:r w:rsidR="008B06DD">
              <w:rPr>
                <w:rFonts w:ascii="Arial" w:hAnsi="Arial" w:cs="Arial"/>
              </w:rPr>
              <w:t xml:space="preserve">, </w:t>
            </w:r>
            <w:r>
              <w:rPr>
                <w:rFonts w:ascii="Arial" w:hAnsi="Arial" w:cs="Arial"/>
              </w:rPr>
              <w:t xml:space="preserve">so </w:t>
            </w:r>
            <w:r w:rsidR="008A5AB5">
              <w:rPr>
                <w:rFonts w:ascii="Arial" w:hAnsi="Arial" w:cs="Arial"/>
              </w:rPr>
              <w:t>prescribing and initiation</w:t>
            </w:r>
            <w:r>
              <w:rPr>
                <w:rFonts w:ascii="Arial" w:hAnsi="Arial" w:cs="Arial"/>
              </w:rPr>
              <w:t xml:space="preserve"> </w:t>
            </w:r>
            <w:r w:rsidR="008B06DD">
              <w:rPr>
                <w:rFonts w:ascii="Arial" w:hAnsi="Arial" w:cs="Arial"/>
              </w:rPr>
              <w:t xml:space="preserve">in primary care is </w:t>
            </w:r>
            <w:r>
              <w:rPr>
                <w:rFonts w:ascii="Arial" w:hAnsi="Arial" w:cs="Arial"/>
              </w:rPr>
              <w:t>not currently recommended.</w:t>
            </w:r>
          </w:p>
        </w:tc>
      </w:tr>
      <w:tr w:rsidR="00AB6BE4" w:rsidTr="00AB6BE4">
        <w:tblPrEx>
          <w:jc w:val="center"/>
          <w:tblInd w:w="0" w:type="dxa"/>
        </w:tblPrEx>
        <w:trPr>
          <w:trHeight w:val="397"/>
          <w:jc w:val="center"/>
        </w:trPr>
        <w:tc>
          <w:tcPr>
            <w:tcW w:w="10689" w:type="dxa"/>
            <w:gridSpan w:val="3"/>
            <w:shd w:val="clear" w:color="auto" w:fill="F2F2F2" w:themeFill="background1" w:themeFillShade="F2"/>
            <w:vAlign w:val="center"/>
          </w:tcPr>
          <w:p w:rsidR="00AB6BE4" w:rsidRDefault="00AB6BE4" w:rsidP="0048749A">
            <w:pPr>
              <w:rPr>
                <w:rFonts w:ascii="Arial" w:hAnsi="Arial" w:cs="Arial"/>
                <w:b/>
              </w:rPr>
            </w:pPr>
            <w:r>
              <w:rPr>
                <w:rFonts w:ascii="Arial" w:hAnsi="Arial" w:cs="Arial"/>
                <w:b/>
              </w:rPr>
              <w:t xml:space="preserve">Impact to </w:t>
            </w:r>
            <w:r w:rsidR="0048749A">
              <w:rPr>
                <w:rFonts w:ascii="Arial" w:hAnsi="Arial" w:cs="Arial"/>
                <w:b/>
              </w:rPr>
              <w:t>proposed prescriber or medication initiator</w:t>
            </w:r>
          </w:p>
        </w:tc>
      </w:tr>
      <w:tr w:rsidR="00AB6BE4" w:rsidTr="000D544A">
        <w:tblPrEx>
          <w:jc w:val="center"/>
          <w:tblInd w:w="0" w:type="dxa"/>
        </w:tblPrEx>
        <w:trPr>
          <w:trHeight w:val="474"/>
          <w:jc w:val="center"/>
        </w:trPr>
        <w:tc>
          <w:tcPr>
            <w:tcW w:w="10689" w:type="dxa"/>
            <w:gridSpan w:val="3"/>
          </w:tcPr>
          <w:p w:rsidR="00CA43C3" w:rsidRDefault="00CA43C3" w:rsidP="00CA43C3">
            <w:pPr>
              <w:pStyle w:val="ListParagraph"/>
              <w:numPr>
                <w:ilvl w:val="0"/>
                <w:numId w:val="15"/>
              </w:numPr>
              <w:rPr>
                <w:rFonts w:ascii="Arial" w:hAnsi="Arial" w:cs="Arial"/>
              </w:rPr>
            </w:pPr>
            <w:r w:rsidRPr="000C56EB">
              <w:rPr>
                <w:rFonts w:ascii="Arial" w:hAnsi="Arial" w:cs="Arial"/>
              </w:rPr>
              <w:t xml:space="preserve">Extend </w:t>
            </w:r>
            <w:r>
              <w:rPr>
                <w:rFonts w:ascii="Arial" w:hAnsi="Arial" w:cs="Arial"/>
              </w:rPr>
              <w:t>care of patient in primary care by extending prescribing options</w:t>
            </w:r>
          </w:p>
          <w:p w:rsidR="00CA43C3" w:rsidRPr="00CA43C3" w:rsidRDefault="00CA43C3" w:rsidP="00CA43C3">
            <w:pPr>
              <w:pStyle w:val="ListParagraph"/>
              <w:numPr>
                <w:ilvl w:val="0"/>
                <w:numId w:val="15"/>
              </w:numPr>
              <w:rPr>
                <w:rFonts w:ascii="Arial" w:hAnsi="Arial" w:cs="Arial"/>
                <w:b/>
              </w:rPr>
            </w:pPr>
            <w:r>
              <w:rPr>
                <w:rFonts w:ascii="Arial" w:hAnsi="Arial" w:cs="Arial"/>
              </w:rPr>
              <w:t xml:space="preserve">Prescriber able to follow NICE </w:t>
            </w:r>
            <w:r w:rsidR="008B06DD">
              <w:rPr>
                <w:rFonts w:ascii="Arial" w:hAnsi="Arial" w:cs="Arial"/>
              </w:rPr>
              <w:t xml:space="preserve">and CKS </w:t>
            </w:r>
            <w:r>
              <w:rPr>
                <w:rFonts w:ascii="Arial" w:hAnsi="Arial" w:cs="Arial"/>
              </w:rPr>
              <w:t xml:space="preserve">guidance </w:t>
            </w:r>
          </w:p>
          <w:p w:rsidR="000D544A" w:rsidRPr="000D544A" w:rsidRDefault="000D544A" w:rsidP="00CA43C3">
            <w:pPr>
              <w:pStyle w:val="ListParagraph"/>
              <w:numPr>
                <w:ilvl w:val="0"/>
                <w:numId w:val="15"/>
              </w:numPr>
              <w:rPr>
                <w:rFonts w:ascii="Arial" w:hAnsi="Arial" w:cs="Arial"/>
                <w:b/>
              </w:rPr>
            </w:pPr>
            <w:r>
              <w:rPr>
                <w:rFonts w:ascii="Arial" w:hAnsi="Arial" w:cs="Arial"/>
              </w:rPr>
              <w:t xml:space="preserve">Primary care prescribers may feel more comfortable </w:t>
            </w:r>
            <w:r w:rsidR="000C56EB">
              <w:rPr>
                <w:rFonts w:ascii="Arial" w:hAnsi="Arial" w:cs="Arial"/>
              </w:rPr>
              <w:t>when PAD reflects national guidance.</w:t>
            </w:r>
          </w:p>
        </w:tc>
      </w:tr>
      <w:tr w:rsidR="00AB6BE4" w:rsidTr="00AB6BE4">
        <w:tblPrEx>
          <w:jc w:val="center"/>
          <w:tblInd w:w="0" w:type="dxa"/>
        </w:tblPrEx>
        <w:trPr>
          <w:trHeight w:val="397"/>
          <w:jc w:val="center"/>
        </w:trPr>
        <w:tc>
          <w:tcPr>
            <w:tcW w:w="10689" w:type="dxa"/>
            <w:gridSpan w:val="3"/>
            <w:shd w:val="clear" w:color="auto" w:fill="F2F2F2" w:themeFill="background1" w:themeFillShade="F2"/>
            <w:vAlign w:val="center"/>
          </w:tcPr>
          <w:p w:rsidR="00AB6BE4" w:rsidRPr="000D544A" w:rsidRDefault="00AB6BE4" w:rsidP="00AB6BE4">
            <w:pPr>
              <w:rPr>
                <w:rFonts w:ascii="Arial" w:hAnsi="Arial" w:cs="Arial"/>
                <w:b/>
              </w:rPr>
            </w:pPr>
            <w:r w:rsidRPr="000D544A">
              <w:rPr>
                <w:rFonts w:ascii="Arial" w:hAnsi="Arial" w:cs="Arial"/>
                <w:b/>
              </w:rPr>
              <w:t>Impact to patients</w:t>
            </w:r>
          </w:p>
        </w:tc>
      </w:tr>
      <w:tr w:rsidR="00324ABD" w:rsidTr="000D544A">
        <w:tblPrEx>
          <w:jc w:val="center"/>
          <w:tblInd w:w="0" w:type="dxa"/>
        </w:tblPrEx>
        <w:trPr>
          <w:trHeight w:val="428"/>
          <w:jc w:val="center"/>
        </w:trPr>
        <w:tc>
          <w:tcPr>
            <w:tcW w:w="10689" w:type="dxa"/>
            <w:gridSpan w:val="3"/>
            <w:vAlign w:val="center"/>
          </w:tcPr>
          <w:p w:rsidR="000D544A" w:rsidRPr="000D544A" w:rsidRDefault="00CA43C3" w:rsidP="008B06DD">
            <w:pPr>
              <w:pStyle w:val="ListParagraph"/>
              <w:numPr>
                <w:ilvl w:val="0"/>
                <w:numId w:val="15"/>
              </w:numPr>
              <w:rPr>
                <w:rFonts w:ascii="Arial" w:hAnsi="Arial" w:cs="Arial"/>
              </w:rPr>
            </w:pPr>
            <w:r>
              <w:rPr>
                <w:rFonts w:ascii="Arial" w:hAnsi="Arial" w:cs="Arial"/>
              </w:rPr>
              <w:t xml:space="preserve">Another option to manage </w:t>
            </w:r>
            <w:r w:rsidR="008B06DD">
              <w:rPr>
                <w:rFonts w:ascii="Arial" w:hAnsi="Arial" w:cs="Arial"/>
              </w:rPr>
              <w:t>pain and inflammation symptoms, particularly while waiting for referral.</w:t>
            </w:r>
          </w:p>
        </w:tc>
      </w:tr>
      <w:tr w:rsidR="00324ABD" w:rsidTr="0048749A">
        <w:tblPrEx>
          <w:jc w:val="center"/>
          <w:tblInd w:w="0" w:type="dxa"/>
        </w:tblPrEx>
        <w:trPr>
          <w:trHeight w:val="397"/>
          <w:jc w:val="center"/>
        </w:trPr>
        <w:tc>
          <w:tcPr>
            <w:tcW w:w="10689" w:type="dxa"/>
            <w:gridSpan w:val="3"/>
            <w:shd w:val="clear" w:color="auto" w:fill="F2F2F2" w:themeFill="background1" w:themeFillShade="F2"/>
            <w:vAlign w:val="center"/>
          </w:tcPr>
          <w:p w:rsidR="00324ABD" w:rsidRPr="00936F6F" w:rsidRDefault="00324ABD" w:rsidP="0048749A">
            <w:pPr>
              <w:rPr>
                <w:rFonts w:ascii="Arial" w:hAnsi="Arial" w:cs="Arial"/>
              </w:rPr>
            </w:pPr>
            <w:r>
              <w:rPr>
                <w:rFonts w:ascii="Arial" w:hAnsi="Arial" w:cs="Arial"/>
                <w:b/>
              </w:rPr>
              <w:t>Additional comments</w:t>
            </w:r>
          </w:p>
        </w:tc>
      </w:tr>
      <w:tr w:rsidR="009951DB" w:rsidTr="005865F3">
        <w:tblPrEx>
          <w:jc w:val="center"/>
          <w:tblInd w:w="0" w:type="dxa"/>
        </w:tblPrEx>
        <w:trPr>
          <w:trHeight w:val="1718"/>
          <w:jc w:val="center"/>
        </w:trPr>
        <w:tc>
          <w:tcPr>
            <w:tcW w:w="10689" w:type="dxa"/>
            <w:gridSpan w:val="3"/>
            <w:vAlign w:val="center"/>
          </w:tcPr>
          <w:p w:rsidR="000C56EB" w:rsidRPr="000C56EB" w:rsidRDefault="000C56EB" w:rsidP="00655F58">
            <w:pPr>
              <w:rPr>
                <w:rFonts w:ascii="Arial" w:hAnsi="Arial" w:cs="Arial"/>
                <w:b/>
                <w:u w:val="single"/>
                <w:lang w:val="en"/>
              </w:rPr>
            </w:pPr>
            <w:r w:rsidRPr="000C56EB">
              <w:rPr>
                <w:rFonts w:ascii="Arial" w:hAnsi="Arial" w:cs="Arial"/>
                <w:b/>
                <w:u w:val="single"/>
                <w:lang w:val="en"/>
              </w:rPr>
              <w:t>Introduction:</w:t>
            </w:r>
          </w:p>
          <w:p w:rsidR="000C56EB" w:rsidRDefault="000C56EB" w:rsidP="00655F58">
            <w:pPr>
              <w:rPr>
                <w:rFonts w:ascii="Arial" w:hAnsi="Arial" w:cs="Arial"/>
                <w:lang w:val="en"/>
              </w:rPr>
            </w:pPr>
          </w:p>
          <w:p w:rsidR="00655F58" w:rsidRPr="00B3644E" w:rsidRDefault="00655F58" w:rsidP="00655F58">
            <w:pPr>
              <w:rPr>
                <w:rFonts w:ascii="Arial" w:hAnsi="Arial" w:cs="Arial"/>
              </w:rPr>
            </w:pPr>
            <w:r w:rsidRPr="00E905F7">
              <w:rPr>
                <w:rFonts w:ascii="Arial" w:hAnsi="Arial" w:cs="Arial"/>
                <w:lang w:val="en"/>
              </w:rPr>
              <w:t>Cyclo-</w:t>
            </w:r>
            <w:r w:rsidRPr="00B3644E">
              <w:rPr>
                <w:rFonts w:ascii="Arial" w:hAnsi="Arial" w:cs="Arial"/>
              </w:rPr>
              <w:t>oxygenase-2 (COX-</w:t>
            </w:r>
            <w:r>
              <w:rPr>
                <w:rFonts w:ascii="Arial" w:hAnsi="Arial" w:cs="Arial"/>
              </w:rPr>
              <w:t>2</w:t>
            </w:r>
            <w:r w:rsidRPr="00B3644E">
              <w:rPr>
                <w:rFonts w:ascii="Arial" w:hAnsi="Arial" w:cs="Arial"/>
              </w:rPr>
              <w:t xml:space="preserve">) inhibitors are a type of non-steroidal anti-inflammatory drug </w:t>
            </w:r>
            <w:r w:rsidR="00CA43C3">
              <w:rPr>
                <w:rFonts w:ascii="Arial" w:hAnsi="Arial" w:cs="Arial"/>
              </w:rPr>
              <w:t>(NSAID) that specifically block</w:t>
            </w:r>
            <w:r w:rsidRPr="00B3644E">
              <w:rPr>
                <w:rFonts w:ascii="Arial" w:hAnsi="Arial" w:cs="Arial"/>
              </w:rPr>
              <w:t xml:space="preserve"> COX-2 enzymes.</w:t>
            </w:r>
          </w:p>
          <w:p w:rsidR="00655F58" w:rsidRPr="00B3644E" w:rsidRDefault="00655F58" w:rsidP="00655F58">
            <w:pPr>
              <w:rPr>
                <w:rFonts w:ascii="Arial" w:hAnsi="Arial" w:cs="Arial"/>
              </w:rPr>
            </w:pPr>
          </w:p>
          <w:p w:rsidR="00655F58" w:rsidRPr="00B3644E" w:rsidRDefault="00655F58" w:rsidP="00655F58">
            <w:pPr>
              <w:rPr>
                <w:rFonts w:ascii="Arial" w:hAnsi="Arial" w:cs="Arial"/>
              </w:rPr>
            </w:pPr>
            <w:r w:rsidRPr="00B3644E">
              <w:rPr>
                <w:rFonts w:ascii="Arial" w:hAnsi="Arial" w:cs="Arial"/>
              </w:rPr>
              <w:t>There are two main types of COX enzymes: COX-1 and COX-2. Both types produce prostaglandins</w:t>
            </w:r>
            <w:r>
              <w:rPr>
                <w:rFonts w:ascii="Arial" w:hAnsi="Arial" w:cs="Arial"/>
              </w:rPr>
              <w:t xml:space="preserve"> which </w:t>
            </w:r>
            <w:r w:rsidRPr="00B3644E">
              <w:rPr>
                <w:rFonts w:ascii="Arial" w:hAnsi="Arial" w:cs="Arial"/>
              </w:rPr>
              <w:t>have a number of different effects, one of which is to regulate inflammation.</w:t>
            </w:r>
          </w:p>
          <w:p w:rsidR="00655F58" w:rsidRPr="00B3644E" w:rsidRDefault="00655F58" w:rsidP="00655F58">
            <w:pPr>
              <w:rPr>
                <w:rFonts w:ascii="Arial" w:hAnsi="Arial" w:cs="Arial"/>
              </w:rPr>
            </w:pPr>
          </w:p>
          <w:p w:rsidR="00655F58" w:rsidRDefault="00655F58" w:rsidP="00655F58">
            <w:pPr>
              <w:rPr>
                <w:rFonts w:ascii="Arial" w:hAnsi="Arial" w:cs="Arial"/>
              </w:rPr>
            </w:pPr>
            <w:r w:rsidRPr="00B3644E">
              <w:rPr>
                <w:rFonts w:ascii="Arial" w:hAnsi="Arial" w:cs="Arial"/>
              </w:rPr>
              <w:t>By specifically only blocking COX-2 enzymes, COX-2 inhibitors relieve inflammation and pain with less adverse gastrointestinal effects than NSAIDs that inhibit both COX-1 and COX-2 enzymes. However, they are not devoid of gastrointestinal effects entirely, and their use (like all NSAIDs) has been associated with a higher risk of stroke and heart attack.</w:t>
            </w:r>
          </w:p>
          <w:p w:rsidR="002A542F" w:rsidRDefault="002A542F" w:rsidP="00655F58">
            <w:pPr>
              <w:rPr>
                <w:rFonts w:ascii="Arial" w:hAnsi="Arial" w:cs="Arial"/>
              </w:rPr>
            </w:pPr>
          </w:p>
          <w:p w:rsidR="000C56EB" w:rsidRDefault="000C56EB" w:rsidP="000C56EB">
            <w:pPr>
              <w:pStyle w:val="ListParagraph"/>
              <w:numPr>
                <w:ilvl w:val="0"/>
                <w:numId w:val="27"/>
              </w:numPr>
              <w:rPr>
                <w:rFonts w:ascii="Arial" w:hAnsi="Arial" w:cs="Arial"/>
                <w:b/>
                <w:u w:val="single"/>
              </w:rPr>
            </w:pPr>
            <w:r w:rsidRPr="000C56EB">
              <w:rPr>
                <w:rFonts w:ascii="Arial" w:hAnsi="Arial" w:cs="Arial"/>
                <w:b/>
                <w:u w:val="single"/>
              </w:rPr>
              <w:t>GP contract:</w:t>
            </w:r>
          </w:p>
          <w:p w:rsidR="002A542F" w:rsidRPr="000C56EB" w:rsidRDefault="002A542F" w:rsidP="002A542F">
            <w:pPr>
              <w:pStyle w:val="ListParagraph"/>
              <w:rPr>
                <w:rFonts w:ascii="Arial" w:hAnsi="Arial" w:cs="Arial"/>
                <w:b/>
                <w:u w:val="single"/>
              </w:rPr>
            </w:pPr>
          </w:p>
          <w:p w:rsidR="000C56EB" w:rsidRPr="000C56EB" w:rsidRDefault="000C56EB" w:rsidP="00655F58">
            <w:pPr>
              <w:rPr>
                <w:rFonts w:ascii="Arial" w:hAnsi="Arial" w:cs="Arial"/>
              </w:rPr>
            </w:pPr>
            <w:r w:rsidRPr="000C56EB">
              <w:rPr>
                <w:rFonts w:ascii="Arial" w:hAnsi="Arial" w:cs="Arial"/>
              </w:rPr>
              <w:t>The GP contract for this year directs prescribers to the NICE CKS on NSAID prescribing advice when performing specific elements of the quality improvement activity.</w:t>
            </w:r>
          </w:p>
          <w:p w:rsidR="000C56EB" w:rsidRPr="000C56EB" w:rsidRDefault="000C56EB" w:rsidP="00655F58">
            <w:pPr>
              <w:rPr>
                <w:color w:val="000000"/>
                <w:sz w:val="20"/>
                <w:szCs w:val="20"/>
              </w:rPr>
            </w:pPr>
          </w:p>
          <w:p w:rsidR="00C15FF4" w:rsidRDefault="00C15FF4" w:rsidP="00655F58">
            <w:pPr>
              <w:rPr>
                <w:rStyle w:val="Hyperlink"/>
                <w:rFonts w:ascii="Arial" w:hAnsi="Arial" w:cs="Arial"/>
              </w:rPr>
            </w:pPr>
            <w:r w:rsidRPr="000C56EB">
              <w:rPr>
                <w:rFonts w:ascii="Arial" w:hAnsi="Arial" w:cs="Arial"/>
              </w:rPr>
              <w:t>Advice from CKS – NSAIDS prescribing issues</w:t>
            </w:r>
            <w:r w:rsidR="000C56EB" w:rsidRPr="000C56EB">
              <w:rPr>
                <w:rFonts w:ascii="Arial" w:hAnsi="Arial" w:cs="Arial"/>
              </w:rPr>
              <w:t xml:space="preserve"> is a</w:t>
            </w:r>
            <w:r w:rsidRPr="000C56EB">
              <w:rPr>
                <w:rFonts w:ascii="Arial" w:hAnsi="Arial" w:cs="Arial"/>
              </w:rPr>
              <w:t xml:space="preserve">vailable at: </w:t>
            </w:r>
            <w:hyperlink r:id="rId18" w:anchor="!scenario" w:history="1">
              <w:r w:rsidRPr="00C15FF4">
                <w:rPr>
                  <w:rStyle w:val="Hyperlink"/>
                  <w:rFonts w:ascii="Arial" w:hAnsi="Arial" w:cs="Arial"/>
                </w:rPr>
                <w:t>https://cks.nice.org.uk/nsaids-prescribing-issues#!scenario</w:t>
              </w:r>
            </w:hyperlink>
          </w:p>
          <w:p w:rsidR="0029430B" w:rsidRPr="00C15FF4" w:rsidRDefault="0029430B" w:rsidP="00655F58">
            <w:pPr>
              <w:rPr>
                <w:rFonts w:ascii="Arial" w:hAnsi="Arial" w:cs="Arial"/>
                <w:u w:val="single"/>
              </w:rPr>
            </w:pPr>
          </w:p>
          <w:p w:rsidR="00C15FF4" w:rsidRPr="00C15FF4" w:rsidRDefault="00C15FF4" w:rsidP="00C15FF4">
            <w:pPr>
              <w:numPr>
                <w:ilvl w:val="0"/>
                <w:numId w:val="25"/>
              </w:numPr>
              <w:spacing w:before="100" w:beforeAutospacing="1" w:after="100" w:afterAutospacing="1" w:line="360" w:lineRule="atLeast"/>
              <w:ind w:left="300"/>
              <w:rPr>
                <w:rFonts w:ascii="Arial" w:eastAsia="Times New Roman" w:hAnsi="Arial" w:cs="Arial"/>
                <w:color w:val="0E0E0E"/>
              </w:rPr>
            </w:pPr>
            <w:r w:rsidRPr="00C15FF4">
              <w:rPr>
                <w:rFonts w:ascii="Arial" w:eastAsia="Times New Roman" w:hAnsi="Arial" w:cs="Arial"/>
                <w:b/>
                <w:bCs/>
                <w:color w:val="0E0E0E"/>
              </w:rPr>
              <w:lastRenderedPageBreak/>
              <w:t>Do not prescribe COX-2 inhibitors, diclofenac, aceclofenac or high dose ibuprofen (more than 2400 mg daily)</w:t>
            </w:r>
            <w:r w:rsidRPr="00C15FF4">
              <w:rPr>
                <w:rFonts w:ascii="Arial" w:eastAsia="Times New Roman" w:hAnsi="Arial" w:cs="Arial"/>
                <w:color w:val="0E0E0E"/>
              </w:rPr>
              <w:t> </w:t>
            </w:r>
            <w:r w:rsidRPr="00C15FF4">
              <w:rPr>
                <w:rFonts w:ascii="Arial" w:eastAsia="Times New Roman" w:hAnsi="Arial" w:cs="Arial"/>
                <w:b/>
                <w:bCs/>
                <w:color w:val="0E0E0E"/>
              </w:rPr>
              <w:t>to people with</w:t>
            </w:r>
            <w:r w:rsidRPr="00C15FF4">
              <w:rPr>
                <w:rFonts w:ascii="Arial" w:eastAsia="Times New Roman" w:hAnsi="Arial" w:cs="Arial"/>
                <w:color w:val="0E0E0E"/>
              </w:rPr>
              <w:t>:</w:t>
            </w:r>
          </w:p>
          <w:p w:rsidR="00C15FF4" w:rsidRPr="00C15FF4" w:rsidRDefault="00C15FF4" w:rsidP="00C15FF4">
            <w:pPr>
              <w:pStyle w:val="ListParagraph"/>
              <w:numPr>
                <w:ilvl w:val="0"/>
                <w:numId w:val="26"/>
              </w:numPr>
              <w:spacing w:before="100" w:beforeAutospacing="1" w:after="100" w:afterAutospacing="1" w:line="360" w:lineRule="atLeast"/>
              <w:rPr>
                <w:rFonts w:ascii="Arial" w:eastAsia="Times New Roman" w:hAnsi="Arial" w:cs="Arial"/>
                <w:color w:val="0E0E0E"/>
              </w:rPr>
            </w:pPr>
            <w:r w:rsidRPr="00C15FF4">
              <w:rPr>
                <w:rFonts w:ascii="Arial" w:eastAsia="Times New Roman" w:hAnsi="Arial" w:cs="Arial"/>
                <w:color w:val="0E0E0E"/>
              </w:rPr>
              <w:t>Ischaemic heart disease.</w:t>
            </w:r>
          </w:p>
          <w:p w:rsidR="00C15FF4" w:rsidRPr="00C15FF4" w:rsidRDefault="00C15FF4" w:rsidP="00C15FF4">
            <w:pPr>
              <w:pStyle w:val="ListParagraph"/>
              <w:numPr>
                <w:ilvl w:val="0"/>
                <w:numId w:val="26"/>
              </w:numPr>
              <w:spacing w:before="100" w:beforeAutospacing="1" w:after="100" w:afterAutospacing="1" w:line="360" w:lineRule="atLeast"/>
              <w:rPr>
                <w:rFonts w:ascii="Arial" w:eastAsia="Times New Roman" w:hAnsi="Arial" w:cs="Arial"/>
                <w:color w:val="0E0E0E"/>
              </w:rPr>
            </w:pPr>
            <w:r w:rsidRPr="00C15FF4">
              <w:rPr>
                <w:rFonts w:ascii="Arial" w:eastAsia="Times New Roman" w:hAnsi="Arial" w:cs="Arial"/>
                <w:color w:val="0E0E0E"/>
              </w:rPr>
              <w:t>Inflammatory bowel disease (COX-2 inhibitors only).</w:t>
            </w:r>
          </w:p>
          <w:p w:rsidR="00C15FF4" w:rsidRPr="00C15FF4" w:rsidRDefault="00C15FF4" w:rsidP="00C15FF4">
            <w:pPr>
              <w:pStyle w:val="ListParagraph"/>
              <w:numPr>
                <w:ilvl w:val="0"/>
                <w:numId w:val="26"/>
              </w:numPr>
              <w:spacing w:before="100" w:beforeAutospacing="1" w:after="100" w:afterAutospacing="1" w:line="360" w:lineRule="atLeast"/>
              <w:rPr>
                <w:rFonts w:ascii="Arial" w:eastAsia="Times New Roman" w:hAnsi="Arial" w:cs="Arial"/>
                <w:color w:val="0E0E0E"/>
              </w:rPr>
            </w:pPr>
            <w:r w:rsidRPr="00C15FF4">
              <w:rPr>
                <w:rFonts w:ascii="Arial" w:eastAsia="Times New Roman" w:hAnsi="Arial" w:cs="Arial"/>
                <w:color w:val="0E0E0E"/>
              </w:rPr>
              <w:t>Peripheral arterial disease.</w:t>
            </w:r>
          </w:p>
          <w:p w:rsidR="00C15FF4" w:rsidRPr="00C15FF4" w:rsidRDefault="00C15FF4" w:rsidP="00C15FF4">
            <w:pPr>
              <w:pStyle w:val="ListParagraph"/>
              <w:numPr>
                <w:ilvl w:val="0"/>
                <w:numId w:val="26"/>
              </w:numPr>
              <w:spacing w:before="100" w:beforeAutospacing="1" w:after="100" w:afterAutospacing="1" w:line="360" w:lineRule="atLeast"/>
              <w:rPr>
                <w:rFonts w:ascii="Arial" w:eastAsia="Times New Roman" w:hAnsi="Arial" w:cs="Arial"/>
                <w:color w:val="0E0E0E"/>
              </w:rPr>
            </w:pPr>
            <w:r w:rsidRPr="00C15FF4">
              <w:rPr>
                <w:rFonts w:ascii="Arial" w:eastAsia="Times New Roman" w:hAnsi="Arial" w:cs="Arial"/>
                <w:color w:val="0E0E0E"/>
              </w:rPr>
              <w:t>Cerebrovascular disease.</w:t>
            </w:r>
          </w:p>
          <w:p w:rsidR="00C15FF4" w:rsidRPr="00C15FF4" w:rsidRDefault="00C15FF4" w:rsidP="00C15FF4">
            <w:pPr>
              <w:pStyle w:val="ListParagraph"/>
              <w:numPr>
                <w:ilvl w:val="0"/>
                <w:numId w:val="26"/>
              </w:numPr>
              <w:spacing w:before="100" w:beforeAutospacing="1" w:after="100" w:afterAutospacing="1" w:line="360" w:lineRule="atLeast"/>
              <w:rPr>
                <w:rFonts w:ascii="Arial" w:eastAsia="Times New Roman" w:hAnsi="Arial" w:cs="Arial"/>
                <w:color w:val="0E0E0E"/>
              </w:rPr>
            </w:pPr>
            <w:r w:rsidRPr="00C15FF4">
              <w:rPr>
                <w:rFonts w:ascii="Arial" w:eastAsia="Times New Roman" w:hAnsi="Arial" w:cs="Arial"/>
                <w:color w:val="0E0E0E"/>
              </w:rPr>
              <w:t>Congestive heart failure (New York Heart Association [NYHA] classification II–IV).</w:t>
            </w:r>
          </w:p>
          <w:p w:rsidR="00C15FF4" w:rsidRDefault="00C15FF4" w:rsidP="00C15FF4">
            <w:pPr>
              <w:numPr>
                <w:ilvl w:val="0"/>
                <w:numId w:val="25"/>
              </w:numPr>
              <w:spacing w:before="100" w:beforeAutospacing="1" w:after="100" w:afterAutospacing="1" w:line="360" w:lineRule="atLeast"/>
              <w:ind w:left="300"/>
              <w:rPr>
                <w:rFonts w:ascii="Arial" w:eastAsia="Times New Roman" w:hAnsi="Arial" w:cs="Arial"/>
                <w:color w:val="0E0E0E"/>
              </w:rPr>
            </w:pPr>
            <w:r w:rsidRPr="00C15FF4">
              <w:rPr>
                <w:rFonts w:ascii="Arial" w:eastAsia="Times New Roman" w:hAnsi="Arial" w:cs="Arial"/>
                <w:b/>
                <w:bCs/>
                <w:color w:val="0E0E0E"/>
              </w:rPr>
              <w:t>Do not prescribe etoricoxib or high dose ibuprofen to</w:t>
            </w:r>
            <w:r w:rsidRPr="00C15FF4">
              <w:rPr>
                <w:rFonts w:ascii="Arial" w:eastAsia="Times New Roman" w:hAnsi="Arial" w:cs="Arial"/>
                <w:color w:val="0E0E0E"/>
              </w:rPr>
              <w:t xml:space="preserve"> people with uncontrolled hypertension (persistently above 140/90 mmHg).</w:t>
            </w:r>
          </w:p>
          <w:p w:rsidR="00ED689D" w:rsidRDefault="00ED689D" w:rsidP="00ED689D">
            <w:pPr>
              <w:spacing w:before="100" w:beforeAutospacing="1" w:after="100" w:afterAutospacing="1" w:line="360" w:lineRule="atLeast"/>
              <w:rPr>
                <w:rFonts w:ascii="Arial" w:eastAsia="Times New Roman" w:hAnsi="Arial" w:cs="Arial"/>
                <w:color w:val="0E0E0E"/>
              </w:rPr>
            </w:pPr>
            <w:r>
              <w:rPr>
                <w:rFonts w:ascii="Arial" w:eastAsia="Times New Roman" w:hAnsi="Arial" w:cs="Arial"/>
                <w:color w:val="0E0E0E"/>
              </w:rPr>
              <w:t xml:space="preserve">There is also advice on the use of PPIs </w:t>
            </w:r>
            <w:r w:rsidR="008B06DD">
              <w:rPr>
                <w:rFonts w:ascii="Arial" w:eastAsia="Times New Roman" w:hAnsi="Arial" w:cs="Arial"/>
                <w:color w:val="0E0E0E"/>
              </w:rPr>
              <w:t xml:space="preserve">for co-prescription with NSAIDs available on CKS at: </w:t>
            </w:r>
            <w:hyperlink r:id="rId19" w:anchor="!scenario" w:history="1">
              <w:r w:rsidR="008B06DD" w:rsidRPr="003776B0">
                <w:rPr>
                  <w:rStyle w:val="Hyperlink"/>
                  <w:rFonts w:ascii="Arial" w:eastAsia="Times New Roman" w:hAnsi="Arial" w:cs="Arial"/>
                </w:rPr>
                <w:t>https://cks.nice.org.uk/nsaids-prescribing-issues#!scenario</w:t>
              </w:r>
            </w:hyperlink>
          </w:p>
          <w:p w:rsidR="00CD3519" w:rsidRPr="000C56EB" w:rsidRDefault="00C15FF4" w:rsidP="002A542F">
            <w:pPr>
              <w:pStyle w:val="ListParagraph"/>
              <w:numPr>
                <w:ilvl w:val="0"/>
                <w:numId w:val="27"/>
              </w:numPr>
              <w:spacing w:before="100" w:beforeAutospacing="1" w:after="100" w:afterAutospacing="1" w:line="360" w:lineRule="atLeast"/>
              <w:rPr>
                <w:rFonts w:ascii="Arial" w:hAnsi="Arial" w:cs="Arial"/>
                <w:b/>
              </w:rPr>
            </w:pPr>
            <w:r w:rsidRPr="000C56EB">
              <w:rPr>
                <w:rFonts w:ascii="Arial" w:eastAsia="Times New Roman" w:hAnsi="Arial" w:cs="Arial"/>
                <w:b/>
                <w:color w:val="0E0E0E"/>
                <w:u w:val="single"/>
              </w:rPr>
              <w:t>Monitoring requirements (as per SPC):</w:t>
            </w:r>
          </w:p>
          <w:tbl>
            <w:tblPr>
              <w:tblW w:w="10221" w:type="dxa"/>
              <w:tblInd w:w="93" w:type="dxa"/>
              <w:tblLook w:val="04A0" w:firstRow="1" w:lastRow="0" w:firstColumn="1" w:lastColumn="0" w:noHBand="0" w:noVBand="1"/>
            </w:tblPr>
            <w:tblGrid>
              <w:gridCol w:w="5260"/>
              <w:gridCol w:w="4961"/>
            </w:tblGrid>
            <w:tr w:rsidR="00CD3519" w:rsidRPr="00BB217A" w:rsidTr="00606740">
              <w:trPr>
                <w:trHeight w:val="31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519" w:rsidRPr="00BB217A" w:rsidRDefault="00CD3519" w:rsidP="00606740">
                  <w:pPr>
                    <w:spacing w:after="0" w:line="240" w:lineRule="auto"/>
                    <w:jc w:val="center"/>
                    <w:rPr>
                      <w:rFonts w:ascii="Calibri" w:eastAsia="Times New Roman" w:hAnsi="Calibri" w:cs="Times New Roman"/>
                      <w:b/>
                      <w:bCs/>
                      <w:color w:val="000000"/>
                      <w:sz w:val="24"/>
                      <w:szCs w:val="24"/>
                    </w:rPr>
                  </w:pPr>
                  <w:r w:rsidRPr="00BB217A">
                    <w:rPr>
                      <w:rFonts w:ascii="Calibri" w:eastAsia="Times New Roman" w:hAnsi="Calibri" w:cs="Times New Roman"/>
                      <w:b/>
                      <w:bCs/>
                      <w:color w:val="000000"/>
                      <w:sz w:val="24"/>
                      <w:szCs w:val="24"/>
                    </w:rPr>
                    <w:t xml:space="preserve">Etoricoxib </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CD3519" w:rsidRPr="00BB217A" w:rsidRDefault="00CD3519" w:rsidP="00606740">
                  <w:pPr>
                    <w:spacing w:after="0" w:line="240" w:lineRule="auto"/>
                    <w:jc w:val="center"/>
                    <w:rPr>
                      <w:rFonts w:ascii="Calibri" w:eastAsia="Times New Roman" w:hAnsi="Calibri" w:cs="Times New Roman"/>
                      <w:b/>
                      <w:bCs/>
                      <w:color w:val="000000"/>
                      <w:sz w:val="24"/>
                      <w:szCs w:val="24"/>
                    </w:rPr>
                  </w:pPr>
                  <w:r w:rsidRPr="00BB217A">
                    <w:rPr>
                      <w:rFonts w:ascii="Calibri" w:eastAsia="Times New Roman" w:hAnsi="Calibri" w:cs="Times New Roman"/>
                      <w:b/>
                      <w:bCs/>
                      <w:color w:val="000000"/>
                      <w:sz w:val="24"/>
                      <w:szCs w:val="24"/>
                    </w:rPr>
                    <w:t xml:space="preserve">Celecoxib </w:t>
                  </w:r>
                </w:p>
              </w:tc>
            </w:tr>
            <w:tr w:rsidR="00CD3519" w:rsidRPr="00BB217A" w:rsidTr="0060674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CD3519" w:rsidRPr="00BB217A" w:rsidRDefault="00CD3519" w:rsidP="00606740">
                  <w:pPr>
                    <w:spacing w:after="0" w:line="240" w:lineRule="auto"/>
                    <w:rPr>
                      <w:rFonts w:ascii="Arial" w:eastAsia="Times New Roman" w:hAnsi="Arial" w:cs="Arial"/>
                      <w:b/>
                      <w:bCs/>
                      <w:color w:val="000000"/>
                      <w:sz w:val="20"/>
                      <w:szCs w:val="20"/>
                    </w:rPr>
                  </w:pPr>
                  <w:r w:rsidRPr="00BB217A">
                    <w:rPr>
                      <w:rFonts w:ascii="Arial" w:eastAsia="Times New Roman" w:hAnsi="Arial" w:cs="Arial"/>
                      <w:b/>
                      <w:bCs/>
                      <w:color w:val="000000"/>
                      <w:sz w:val="20"/>
                      <w:szCs w:val="20"/>
                    </w:rPr>
                    <w:t>4.3 Contraindications</w:t>
                  </w:r>
                </w:p>
              </w:tc>
              <w:tc>
                <w:tcPr>
                  <w:tcW w:w="4961" w:type="dxa"/>
                  <w:tcBorders>
                    <w:top w:val="nil"/>
                    <w:left w:val="nil"/>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Calibri" w:eastAsia="Times New Roman" w:hAnsi="Calibri" w:cs="Times New Roman"/>
                      <w:color w:val="000000"/>
                    </w:rPr>
                  </w:pPr>
                  <w:r w:rsidRPr="00BB217A">
                    <w:rPr>
                      <w:rFonts w:ascii="Calibri" w:eastAsia="Times New Roman" w:hAnsi="Calibri" w:cs="Times New Roman"/>
                      <w:color w:val="000000"/>
                    </w:rPr>
                    <w:t> </w:t>
                  </w:r>
                </w:p>
              </w:tc>
            </w:tr>
            <w:tr w:rsidR="00CD3519" w:rsidRPr="00BB217A" w:rsidTr="00606740">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D3519" w:rsidRPr="00BB217A" w:rsidRDefault="00CD3519" w:rsidP="00606740">
                  <w:pPr>
                    <w:spacing w:after="0" w:line="240" w:lineRule="auto"/>
                    <w:ind w:firstLineChars="100" w:firstLine="200"/>
                    <w:rPr>
                      <w:rFonts w:ascii="Arial" w:eastAsia="Times New Roman" w:hAnsi="Arial" w:cs="Arial"/>
                      <w:color w:val="000000"/>
                      <w:sz w:val="20"/>
                      <w:szCs w:val="20"/>
                    </w:rPr>
                  </w:pPr>
                  <w:r w:rsidRPr="00BB217A">
                    <w:rPr>
                      <w:rFonts w:ascii="Arial" w:eastAsia="Times New Roman" w:hAnsi="Arial" w:cs="Arial"/>
                      <w:color w:val="000000"/>
                      <w:sz w:val="20"/>
                      <w:szCs w:val="20"/>
                    </w:rPr>
                    <w:t xml:space="preserve">• </w:t>
                  </w:r>
                  <w:r w:rsidRPr="00BB217A">
                    <w:rPr>
                      <w:rFonts w:ascii="Arial" w:eastAsia="Times New Roman" w:hAnsi="Arial" w:cs="Arial"/>
                      <w:b/>
                      <w:color w:val="000000"/>
                      <w:sz w:val="20"/>
                      <w:szCs w:val="20"/>
                    </w:rPr>
                    <w:t>Patients with hypertension whose blood pressure is persistently elevated above 140/90 mmHg and has not been adequately controlled.</w:t>
                  </w:r>
                </w:p>
              </w:tc>
              <w:tc>
                <w:tcPr>
                  <w:tcW w:w="4961" w:type="dxa"/>
                  <w:tcBorders>
                    <w:top w:val="nil"/>
                    <w:left w:val="nil"/>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Calibri" w:eastAsia="Times New Roman" w:hAnsi="Calibri" w:cs="Times New Roman"/>
                      <w:color w:val="000000"/>
                    </w:rPr>
                  </w:pPr>
                  <w:r w:rsidRPr="00BB217A">
                    <w:rPr>
                      <w:rFonts w:ascii="Calibri" w:eastAsia="Times New Roman" w:hAnsi="Calibri" w:cs="Times New Roman"/>
                      <w:color w:val="000000"/>
                    </w:rPr>
                    <w:t> </w:t>
                  </w:r>
                </w:p>
              </w:tc>
            </w:tr>
            <w:tr w:rsidR="00CD3519" w:rsidRPr="00BB217A" w:rsidTr="0060674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Calibri" w:eastAsia="Times New Roman" w:hAnsi="Calibri" w:cs="Times New Roman"/>
                      <w:color w:val="000000"/>
                    </w:rPr>
                  </w:pPr>
                  <w:r w:rsidRPr="00BB217A">
                    <w:rPr>
                      <w:rFonts w:ascii="Calibri" w:eastAsia="Times New Roman" w:hAnsi="Calibri" w:cs="Times New Roman"/>
                      <w:color w:val="000000"/>
                    </w:rPr>
                    <w:t> </w:t>
                  </w:r>
                </w:p>
              </w:tc>
              <w:tc>
                <w:tcPr>
                  <w:tcW w:w="4961" w:type="dxa"/>
                  <w:tcBorders>
                    <w:top w:val="nil"/>
                    <w:left w:val="nil"/>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Calibri" w:eastAsia="Times New Roman" w:hAnsi="Calibri" w:cs="Times New Roman"/>
                      <w:color w:val="000000"/>
                    </w:rPr>
                  </w:pPr>
                  <w:r w:rsidRPr="00BB217A">
                    <w:rPr>
                      <w:rFonts w:ascii="Calibri" w:eastAsia="Times New Roman" w:hAnsi="Calibri" w:cs="Times New Roman"/>
                      <w:color w:val="000000"/>
                    </w:rPr>
                    <w:t> </w:t>
                  </w:r>
                </w:p>
              </w:tc>
            </w:tr>
            <w:tr w:rsidR="00CD3519" w:rsidRPr="00BB217A" w:rsidTr="0060674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Arial" w:eastAsia="Times New Roman" w:hAnsi="Arial" w:cs="Arial"/>
                      <w:b/>
                      <w:bCs/>
                      <w:color w:val="000000"/>
                      <w:sz w:val="20"/>
                      <w:szCs w:val="20"/>
                    </w:rPr>
                  </w:pPr>
                  <w:r w:rsidRPr="00BB217A">
                    <w:rPr>
                      <w:rFonts w:ascii="Arial" w:eastAsia="Times New Roman" w:hAnsi="Arial" w:cs="Arial"/>
                      <w:b/>
                      <w:bCs/>
                      <w:color w:val="000000"/>
                      <w:sz w:val="20"/>
                      <w:szCs w:val="20"/>
                    </w:rPr>
                    <w:t>4.4 Special warnings and precautions for use</w:t>
                  </w:r>
                </w:p>
              </w:tc>
              <w:tc>
                <w:tcPr>
                  <w:tcW w:w="4961" w:type="dxa"/>
                  <w:tcBorders>
                    <w:top w:val="nil"/>
                    <w:left w:val="nil"/>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Arial" w:eastAsia="Times New Roman" w:hAnsi="Arial" w:cs="Arial"/>
                      <w:b/>
                      <w:bCs/>
                      <w:color w:val="000000"/>
                      <w:sz w:val="20"/>
                      <w:szCs w:val="20"/>
                    </w:rPr>
                  </w:pPr>
                  <w:r w:rsidRPr="00BB217A">
                    <w:rPr>
                      <w:rFonts w:ascii="Arial" w:eastAsia="Times New Roman" w:hAnsi="Arial" w:cs="Arial"/>
                      <w:b/>
                      <w:bCs/>
                      <w:color w:val="000000"/>
                      <w:sz w:val="20"/>
                      <w:szCs w:val="20"/>
                    </w:rPr>
                    <w:t>4.4 Special warnings and precautions for use</w:t>
                  </w:r>
                </w:p>
              </w:tc>
            </w:tr>
            <w:tr w:rsidR="00CD3519" w:rsidRPr="00BB217A" w:rsidTr="00606740">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D3519" w:rsidRPr="00BB217A" w:rsidRDefault="00CD3519" w:rsidP="00606740">
                  <w:pPr>
                    <w:spacing w:after="0" w:line="240" w:lineRule="auto"/>
                    <w:ind w:firstLineChars="100" w:firstLine="200"/>
                    <w:rPr>
                      <w:rFonts w:ascii="Arial" w:eastAsia="Times New Roman" w:hAnsi="Arial" w:cs="Arial"/>
                      <w:i/>
                      <w:iCs/>
                      <w:color w:val="000000"/>
                      <w:sz w:val="20"/>
                      <w:szCs w:val="20"/>
                    </w:rPr>
                  </w:pPr>
                  <w:r w:rsidRPr="00BB217A">
                    <w:rPr>
                      <w:rFonts w:ascii="Arial" w:eastAsia="Times New Roman" w:hAnsi="Arial" w:cs="Arial"/>
                      <w:i/>
                      <w:iCs/>
                      <w:color w:val="000000"/>
                      <w:sz w:val="20"/>
                      <w:szCs w:val="20"/>
                    </w:rPr>
                    <w:t xml:space="preserve">Fluid retention, oedema and hypertension </w:t>
                  </w:r>
                </w:p>
              </w:tc>
              <w:tc>
                <w:tcPr>
                  <w:tcW w:w="4961" w:type="dxa"/>
                  <w:tcBorders>
                    <w:top w:val="nil"/>
                    <w:left w:val="nil"/>
                    <w:bottom w:val="single" w:sz="4" w:space="0" w:color="auto"/>
                    <w:right w:val="single" w:sz="4" w:space="0" w:color="auto"/>
                  </w:tcBorders>
                  <w:shd w:val="clear" w:color="auto" w:fill="auto"/>
                  <w:noWrap/>
                  <w:vAlign w:val="bottom"/>
                  <w:hideMark/>
                </w:tcPr>
                <w:p w:rsidR="00CD3519" w:rsidRPr="00BB217A" w:rsidRDefault="00CD3519" w:rsidP="00606740">
                  <w:pPr>
                    <w:spacing w:after="0" w:line="240" w:lineRule="auto"/>
                    <w:rPr>
                      <w:rFonts w:ascii="Calibri" w:eastAsia="Times New Roman" w:hAnsi="Calibri" w:cs="Times New Roman"/>
                      <w:i/>
                      <w:iCs/>
                      <w:color w:val="000000"/>
                    </w:rPr>
                  </w:pPr>
                  <w:r w:rsidRPr="00BB217A">
                    <w:rPr>
                      <w:rFonts w:ascii="Calibri" w:eastAsia="Times New Roman" w:hAnsi="Calibri" w:cs="Times New Roman"/>
                      <w:i/>
                      <w:iCs/>
                      <w:color w:val="000000"/>
                    </w:rPr>
                    <w:t>Hypertension</w:t>
                  </w:r>
                </w:p>
              </w:tc>
            </w:tr>
            <w:tr w:rsidR="00CD3519" w:rsidRPr="00BB217A" w:rsidTr="00606740">
              <w:trPr>
                <w:trHeight w:val="204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D3519" w:rsidRDefault="00CD3519" w:rsidP="00606740">
                  <w:pPr>
                    <w:spacing w:after="0" w:line="240" w:lineRule="auto"/>
                    <w:ind w:firstLineChars="100" w:firstLine="200"/>
                    <w:rPr>
                      <w:rFonts w:ascii="Arial" w:eastAsia="Times New Roman" w:hAnsi="Arial" w:cs="Arial"/>
                      <w:b/>
                      <w:bCs/>
                      <w:color w:val="000000"/>
                      <w:sz w:val="20"/>
                      <w:szCs w:val="20"/>
                      <w:u w:val="single"/>
                    </w:rPr>
                  </w:pPr>
                  <w:r w:rsidRPr="00BB217A">
                    <w:rPr>
                      <w:rFonts w:ascii="Arial" w:eastAsia="Times New Roman" w:hAnsi="Arial" w:cs="Arial"/>
                      <w:color w:val="000000"/>
                      <w:sz w:val="20"/>
                      <w:szCs w:val="20"/>
                    </w:rPr>
                    <w:t xml:space="preserve">Etoricoxib may be associated with more frequent and severe hypertension than some other NSAIDs and selective COX-2 inhibitors, particularly at high doses. Therefore, </w:t>
                  </w:r>
                  <w:r w:rsidRPr="00BB217A">
                    <w:rPr>
                      <w:rFonts w:ascii="Arial" w:eastAsia="Times New Roman" w:hAnsi="Arial" w:cs="Arial"/>
                      <w:b/>
                      <w:bCs/>
                      <w:color w:val="000000"/>
                      <w:sz w:val="20"/>
                      <w:szCs w:val="20"/>
                    </w:rPr>
                    <w:t>hypertension should be controlled before treatment with etoricoxib (see section 4.3) and special attention should be paid to blood pressure monitoring during treatment with etoricoxib.</w:t>
                  </w:r>
                  <w:r w:rsidRPr="00BB217A">
                    <w:rPr>
                      <w:rFonts w:ascii="Arial" w:eastAsia="Times New Roman" w:hAnsi="Arial" w:cs="Arial"/>
                      <w:b/>
                      <w:bCs/>
                      <w:color w:val="000000"/>
                      <w:sz w:val="20"/>
                      <w:szCs w:val="20"/>
                      <w:u w:val="single"/>
                    </w:rPr>
                    <w:t xml:space="preserve"> Blood pressure should be monitored within two weeks after initiation of treatment and periodically thereafter. If blood pressure rises significantly, alternative treatment should be considered.</w:t>
                  </w:r>
                </w:p>
                <w:p w:rsidR="008A16CD" w:rsidRPr="00BB217A" w:rsidRDefault="008A16CD" w:rsidP="008A16CD">
                  <w:pPr>
                    <w:spacing w:after="0" w:line="240" w:lineRule="auto"/>
                    <w:ind w:firstLineChars="100" w:firstLine="200"/>
                    <w:rPr>
                      <w:rFonts w:ascii="Arial" w:eastAsia="Times New Roman" w:hAnsi="Arial" w:cs="Arial"/>
                      <w:color w:val="000000"/>
                      <w:sz w:val="20"/>
                      <w:szCs w:val="20"/>
                    </w:rPr>
                  </w:pPr>
                </w:p>
              </w:tc>
              <w:tc>
                <w:tcPr>
                  <w:tcW w:w="4961" w:type="dxa"/>
                  <w:tcBorders>
                    <w:top w:val="nil"/>
                    <w:left w:val="nil"/>
                    <w:bottom w:val="single" w:sz="4" w:space="0" w:color="auto"/>
                    <w:right w:val="single" w:sz="4" w:space="0" w:color="auto"/>
                  </w:tcBorders>
                  <w:shd w:val="clear" w:color="auto" w:fill="auto"/>
                  <w:vAlign w:val="center"/>
                  <w:hideMark/>
                </w:tcPr>
                <w:p w:rsidR="00CD3519" w:rsidRPr="00BB217A" w:rsidRDefault="00CD3519" w:rsidP="00606740">
                  <w:pPr>
                    <w:spacing w:after="0" w:line="240" w:lineRule="auto"/>
                    <w:rPr>
                      <w:rFonts w:ascii="Arial" w:eastAsia="Times New Roman" w:hAnsi="Arial" w:cs="Arial"/>
                      <w:color w:val="000000"/>
                      <w:sz w:val="20"/>
                      <w:szCs w:val="20"/>
                    </w:rPr>
                  </w:pPr>
                  <w:r w:rsidRPr="00BB217A">
                    <w:rPr>
                      <w:rFonts w:ascii="Arial" w:eastAsia="Times New Roman" w:hAnsi="Arial" w:cs="Arial"/>
                      <w:color w:val="000000"/>
                      <w:sz w:val="20"/>
                      <w:szCs w:val="20"/>
                    </w:rPr>
                    <w:t xml:space="preserve">As with all NSAIDS, celecoxib can lead to the onset of new hypertension or worsening of pre-existing hypertension, either of which may contribute to the increased incidence of cardiovascular events. </w:t>
                  </w:r>
                  <w:r w:rsidRPr="00BB217A">
                    <w:rPr>
                      <w:rFonts w:ascii="Arial" w:eastAsia="Times New Roman" w:hAnsi="Arial" w:cs="Arial"/>
                      <w:b/>
                      <w:color w:val="000000"/>
                      <w:sz w:val="20"/>
                      <w:szCs w:val="20"/>
                    </w:rPr>
                    <w:t>Therefore, blood pressure should be monitored closely during the initiation of therapy with celecoxib and throughout the course of therapy</w:t>
                  </w:r>
                  <w:r w:rsidRPr="00BB217A">
                    <w:rPr>
                      <w:rFonts w:ascii="Arial" w:eastAsia="Times New Roman" w:hAnsi="Arial" w:cs="Arial"/>
                      <w:color w:val="000000"/>
                      <w:sz w:val="20"/>
                      <w:szCs w:val="20"/>
                    </w:rPr>
                    <w:t>.</w:t>
                  </w:r>
                </w:p>
              </w:tc>
            </w:tr>
          </w:tbl>
          <w:p w:rsidR="00CD3519" w:rsidRDefault="00CD3519"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29430B" w:rsidRDefault="0029430B" w:rsidP="00CD3519">
            <w:pPr>
              <w:rPr>
                <w:rFonts w:ascii="Arial" w:hAnsi="Arial" w:cs="Arial"/>
                <w:b/>
              </w:rPr>
            </w:pPr>
          </w:p>
          <w:p w:rsidR="000C56EB" w:rsidRDefault="000C56EB" w:rsidP="00CD3519">
            <w:pPr>
              <w:rPr>
                <w:rFonts w:ascii="Arial" w:hAnsi="Arial" w:cs="Arial"/>
                <w:b/>
              </w:rPr>
            </w:pPr>
          </w:p>
          <w:p w:rsidR="00A01A16" w:rsidRPr="0029430B" w:rsidRDefault="0029430B" w:rsidP="0029430B">
            <w:pPr>
              <w:pStyle w:val="ListParagraph"/>
              <w:numPr>
                <w:ilvl w:val="0"/>
                <w:numId w:val="27"/>
              </w:numPr>
              <w:rPr>
                <w:rFonts w:ascii="Arial" w:hAnsi="Arial" w:cs="Arial"/>
                <w:b/>
                <w:u w:val="single"/>
              </w:rPr>
            </w:pPr>
            <w:r w:rsidRPr="0029430B">
              <w:rPr>
                <w:rFonts w:ascii="Arial" w:hAnsi="Arial" w:cs="Arial"/>
                <w:b/>
                <w:u w:val="single"/>
              </w:rPr>
              <w:t>T</w:t>
            </w:r>
            <w:r w:rsidR="00A01A16" w:rsidRPr="0029430B">
              <w:rPr>
                <w:rFonts w:ascii="Arial" w:hAnsi="Arial" w:cs="Arial"/>
                <w:b/>
                <w:u w:val="single"/>
              </w:rPr>
              <w:t>raffic light status within local formularies:</w:t>
            </w:r>
          </w:p>
          <w:p w:rsidR="00A17114" w:rsidRDefault="00A17114" w:rsidP="00CD3519">
            <w:pPr>
              <w:rPr>
                <w:rFonts w:ascii="Arial" w:hAnsi="Arial" w:cs="Arial"/>
                <w:b/>
              </w:rPr>
            </w:pPr>
          </w:p>
          <w:tbl>
            <w:tblPr>
              <w:tblW w:w="8860" w:type="dxa"/>
              <w:tblLook w:val="04A0" w:firstRow="1" w:lastRow="0" w:firstColumn="1" w:lastColumn="0" w:noHBand="0" w:noVBand="1"/>
            </w:tblPr>
            <w:tblGrid>
              <w:gridCol w:w="1292"/>
              <w:gridCol w:w="1492"/>
              <w:gridCol w:w="1466"/>
              <w:gridCol w:w="1635"/>
              <w:gridCol w:w="1501"/>
              <w:gridCol w:w="1474"/>
            </w:tblGrid>
            <w:tr w:rsidR="00A17114" w:rsidRPr="00A17114" w:rsidTr="00A17114">
              <w:trPr>
                <w:trHeight w:val="9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SURREY PAD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CHMS CCG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Brighton and Hove Joint Formulary</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G&amp;W Joint Formulary</w:t>
                  </w:r>
                </w:p>
              </w:tc>
              <w:tc>
                <w:tcPr>
                  <w:tcW w:w="15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Calibri" w:eastAsia="Times New Roman" w:hAnsi="Calibri" w:cs="Calibri"/>
                      <w:b/>
                      <w:bCs/>
                      <w:color w:val="000000"/>
                    </w:rPr>
                  </w:pPr>
                </w:p>
              </w:tc>
            </w:tr>
            <w:tr w:rsidR="00A17114" w:rsidRPr="00A17114" w:rsidTr="00A17114">
              <w:trPr>
                <w:trHeight w:val="12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Celecoxib</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BLUE </w:t>
                  </w:r>
                  <w:r w:rsidR="00341B28">
                    <w:rPr>
                      <w:rFonts w:ascii="Arial" w:eastAsia="Times New Roman" w:hAnsi="Arial" w:cs="Arial"/>
                      <w:color w:val="000000"/>
                    </w:rPr>
                    <w:t>–</w:t>
                  </w:r>
                  <w:r w:rsidRPr="00A17114">
                    <w:rPr>
                      <w:rFonts w:ascii="Arial" w:eastAsia="Times New Roman" w:hAnsi="Arial" w:cs="Arial"/>
                      <w:color w:val="000000"/>
                    </w:rPr>
                    <w:t xml:space="preserve"> AS</w:t>
                  </w:r>
                  <w:r w:rsidR="00341B28">
                    <w:rPr>
                      <w:rFonts w:ascii="Arial" w:eastAsia="Times New Roman" w:hAnsi="Arial" w:cs="Arial"/>
                      <w:color w:val="000000"/>
                    </w:rPr>
                    <w:t>*</w:t>
                  </w:r>
                  <w:r w:rsidRPr="00A17114">
                    <w:rPr>
                      <w:rFonts w:ascii="Arial" w:eastAsia="Times New Roman" w:hAnsi="Arial" w:cs="Arial"/>
                      <w:color w:val="000000"/>
                    </w:rPr>
                    <w:t>, BLACK - all other indications</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GREEN</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GREEN </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BLUE </w:t>
                  </w:r>
                  <w:r w:rsidR="00341B28">
                    <w:rPr>
                      <w:rFonts w:ascii="Arial" w:eastAsia="Times New Roman" w:hAnsi="Arial" w:cs="Arial"/>
                      <w:color w:val="000000"/>
                    </w:rPr>
                    <w:t>–</w:t>
                  </w:r>
                  <w:r w:rsidRPr="00A17114">
                    <w:rPr>
                      <w:rFonts w:ascii="Arial" w:eastAsia="Times New Roman" w:hAnsi="Arial" w:cs="Arial"/>
                      <w:color w:val="000000"/>
                    </w:rPr>
                    <w:t xml:space="preserve"> AS</w:t>
                  </w:r>
                  <w:r w:rsidR="00341B28">
                    <w:rPr>
                      <w:rFonts w:ascii="Arial" w:eastAsia="Times New Roman" w:hAnsi="Arial" w:cs="Arial"/>
                      <w:color w:val="000000"/>
                    </w:rPr>
                    <w:t>*</w:t>
                  </w:r>
                  <w:r w:rsidRPr="00A17114">
                    <w:rPr>
                      <w:rFonts w:ascii="Arial" w:eastAsia="Times New Roman" w:hAnsi="Arial" w:cs="Arial"/>
                      <w:color w:val="000000"/>
                    </w:rPr>
                    <w:t>, BLACK - all other indications</w:t>
                  </w:r>
                </w:p>
              </w:tc>
              <w:tc>
                <w:tcPr>
                  <w:tcW w:w="15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Calibri" w:eastAsia="Times New Roman" w:hAnsi="Calibri" w:cs="Calibri"/>
                      <w:color w:val="000000"/>
                    </w:rPr>
                  </w:pPr>
                </w:p>
              </w:tc>
            </w:tr>
            <w:tr w:rsidR="00A17114" w:rsidRPr="00A17114" w:rsidTr="00A17114">
              <w:trPr>
                <w:trHeight w:val="12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Etoricoxib</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BLUE </w:t>
                  </w:r>
                  <w:r w:rsidR="00341B28">
                    <w:rPr>
                      <w:rFonts w:ascii="Arial" w:eastAsia="Times New Roman" w:hAnsi="Arial" w:cs="Arial"/>
                      <w:color w:val="000000"/>
                    </w:rPr>
                    <w:t>–</w:t>
                  </w:r>
                  <w:r w:rsidRPr="00A17114">
                    <w:rPr>
                      <w:rFonts w:ascii="Arial" w:eastAsia="Times New Roman" w:hAnsi="Arial" w:cs="Arial"/>
                      <w:color w:val="000000"/>
                    </w:rPr>
                    <w:t xml:space="preserve"> AS</w:t>
                  </w:r>
                  <w:r w:rsidR="00341B28">
                    <w:rPr>
                      <w:rFonts w:ascii="Arial" w:eastAsia="Times New Roman" w:hAnsi="Arial" w:cs="Arial"/>
                      <w:color w:val="000000"/>
                    </w:rPr>
                    <w:t>*</w:t>
                  </w:r>
                  <w:r w:rsidRPr="00A17114">
                    <w:rPr>
                      <w:rFonts w:ascii="Arial" w:eastAsia="Times New Roman" w:hAnsi="Arial" w:cs="Arial"/>
                      <w:color w:val="000000"/>
                    </w:rPr>
                    <w:t>, BLACK - all other indications</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GREEN</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GREEN - Third line agent</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BLUE </w:t>
                  </w:r>
                  <w:r w:rsidR="00341B28">
                    <w:rPr>
                      <w:rFonts w:ascii="Arial" w:eastAsia="Times New Roman" w:hAnsi="Arial" w:cs="Arial"/>
                      <w:color w:val="000000"/>
                    </w:rPr>
                    <w:t>–</w:t>
                  </w:r>
                  <w:r w:rsidRPr="00A17114">
                    <w:rPr>
                      <w:rFonts w:ascii="Arial" w:eastAsia="Times New Roman" w:hAnsi="Arial" w:cs="Arial"/>
                      <w:color w:val="000000"/>
                    </w:rPr>
                    <w:t xml:space="preserve"> AS</w:t>
                  </w:r>
                  <w:r w:rsidR="00341B28">
                    <w:rPr>
                      <w:rFonts w:ascii="Arial" w:eastAsia="Times New Roman" w:hAnsi="Arial" w:cs="Arial"/>
                      <w:color w:val="000000"/>
                    </w:rPr>
                    <w:t>*</w:t>
                  </w:r>
                  <w:r w:rsidRPr="00A17114">
                    <w:rPr>
                      <w:rFonts w:ascii="Arial" w:eastAsia="Times New Roman" w:hAnsi="Arial" w:cs="Arial"/>
                      <w:color w:val="000000"/>
                    </w:rPr>
                    <w:t>, BLACK - all other indications</w:t>
                  </w:r>
                </w:p>
              </w:tc>
              <w:tc>
                <w:tcPr>
                  <w:tcW w:w="1560" w:type="dxa"/>
                  <w:tcBorders>
                    <w:top w:val="nil"/>
                    <w:left w:val="nil"/>
                    <w:bottom w:val="nil"/>
                    <w:right w:val="nil"/>
                  </w:tcBorders>
                  <w:shd w:val="clear" w:color="auto" w:fill="auto"/>
                  <w:vAlign w:val="center"/>
                  <w:hideMark/>
                </w:tcPr>
                <w:p w:rsidR="00A17114" w:rsidRDefault="00A17114" w:rsidP="00A17114">
                  <w:pPr>
                    <w:spacing w:after="0" w:line="240" w:lineRule="auto"/>
                    <w:jc w:val="center"/>
                    <w:rPr>
                      <w:rFonts w:ascii="Arial" w:eastAsia="Times New Roman" w:hAnsi="Arial" w:cs="Arial"/>
                      <w:color w:val="000000"/>
                    </w:rPr>
                  </w:pPr>
                </w:p>
                <w:p w:rsidR="008B06DD" w:rsidRDefault="008B06DD" w:rsidP="00A17114">
                  <w:pPr>
                    <w:spacing w:after="0" w:line="240" w:lineRule="auto"/>
                    <w:jc w:val="center"/>
                    <w:rPr>
                      <w:rFonts w:ascii="Arial" w:eastAsia="Times New Roman" w:hAnsi="Arial" w:cs="Arial"/>
                      <w:color w:val="000000"/>
                    </w:rPr>
                  </w:pPr>
                </w:p>
                <w:p w:rsidR="008B06DD" w:rsidRPr="00A17114" w:rsidRDefault="008B06DD" w:rsidP="00A17114">
                  <w:pPr>
                    <w:spacing w:after="0" w:line="240" w:lineRule="auto"/>
                    <w:jc w:val="center"/>
                    <w:rPr>
                      <w:rFonts w:ascii="Arial" w:eastAsia="Times New Roman" w:hAnsi="Arial" w:cs="Arial"/>
                      <w:color w:val="000000"/>
                    </w:rPr>
                  </w:pPr>
                </w:p>
              </w:tc>
            </w:tr>
            <w:tr w:rsidR="00A17114" w:rsidRPr="00A17114" w:rsidTr="00A17114">
              <w:trPr>
                <w:trHeight w:val="300"/>
              </w:trPr>
              <w:tc>
                <w:tcPr>
                  <w:tcW w:w="10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p>
              </w:tc>
              <w:tc>
                <w:tcPr>
                  <w:tcW w:w="15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p>
              </w:tc>
              <w:tc>
                <w:tcPr>
                  <w:tcW w:w="15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p>
              </w:tc>
              <w:tc>
                <w:tcPr>
                  <w:tcW w:w="15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p>
              </w:tc>
              <w:tc>
                <w:tcPr>
                  <w:tcW w:w="1560" w:type="dxa"/>
                  <w:tcBorders>
                    <w:top w:val="nil"/>
                    <w:left w:val="nil"/>
                    <w:bottom w:val="nil"/>
                    <w:right w:val="nil"/>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p>
              </w:tc>
              <w:tc>
                <w:tcPr>
                  <w:tcW w:w="1560" w:type="dxa"/>
                  <w:tcBorders>
                    <w:top w:val="nil"/>
                    <w:left w:val="nil"/>
                    <w:bottom w:val="nil"/>
                    <w:right w:val="nil"/>
                  </w:tcBorders>
                  <w:shd w:val="clear" w:color="auto" w:fill="auto"/>
                  <w:vAlign w:val="center"/>
                  <w:hideMark/>
                </w:tcPr>
                <w:p w:rsidR="00A17114" w:rsidRDefault="00A17114" w:rsidP="00A17114">
                  <w:pPr>
                    <w:spacing w:after="0" w:line="240" w:lineRule="auto"/>
                    <w:jc w:val="center"/>
                    <w:rPr>
                      <w:rFonts w:ascii="Arial" w:eastAsia="Times New Roman" w:hAnsi="Arial" w:cs="Arial"/>
                      <w:color w:val="000000"/>
                    </w:rPr>
                  </w:pPr>
                </w:p>
                <w:p w:rsidR="008B06DD" w:rsidRPr="00A17114" w:rsidRDefault="008B06DD" w:rsidP="00A17114">
                  <w:pPr>
                    <w:spacing w:after="0" w:line="240" w:lineRule="auto"/>
                    <w:jc w:val="center"/>
                    <w:rPr>
                      <w:rFonts w:ascii="Arial" w:eastAsia="Times New Roman" w:hAnsi="Arial" w:cs="Arial"/>
                      <w:color w:val="000000"/>
                    </w:rPr>
                  </w:pPr>
                </w:p>
              </w:tc>
            </w:tr>
            <w:tr w:rsidR="00A17114" w:rsidRPr="00A17114" w:rsidTr="00A17114">
              <w:trPr>
                <w:trHeight w:val="9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SASH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ESHUT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Ashford and St Peter's Hospitals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Croydon University Hospital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Kingston Hospital</w:t>
                  </w:r>
                </w:p>
              </w:tc>
            </w:tr>
            <w:tr w:rsidR="00A17114" w:rsidRPr="00A17114" w:rsidTr="00A17114">
              <w:trPr>
                <w:trHeight w:val="12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Celecoxib</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BLUE </w:t>
                  </w:r>
                  <w:r w:rsidR="00341B28">
                    <w:rPr>
                      <w:rFonts w:ascii="Arial" w:eastAsia="Times New Roman" w:hAnsi="Arial" w:cs="Arial"/>
                      <w:color w:val="000000"/>
                    </w:rPr>
                    <w:t>–</w:t>
                  </w:r>
                  <w:r w:rsidRPr="00A17114">
                    <w:rPr>
                      <w:rFonts w:ascii="Arial" w:eastAsia="Times New Roman" w:hAnsi="Arial" w:cs="Arial"/>
                      <w:color w:val="000000"/>
                    </w:rPr>
                    <w:t xml:space="preserve"> AS</w:t>
                  </w:r>
                  <w:r w:rsidR="00341B28">
                    <w:rPr>
                      <w:rFonts w:ascii="Arial" w:eastAsia="Times New Roman" w:hAnsi="Arial" w:cs="Arial"/>
                      <w:color w:val="000000"/>
                    </w:rPr>
                    <w:t>*</w:t>
                  </w:r>
                  <w:r w:rsidRPr="00A17114">
                    <w:rPr>
                      <w:rFonts w:ascii="Arial" w:eastAsia="Times New Roman" w:hAnsi="Arial" w:cs="Arial"/>
                      <w:color w:val="000000"/>
                    </w:rPr>
                    <w:t>, BLACK - all other indications</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On formulary</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rPr>
                  </w:pPr>
                  <w:r w:rsidRPr="00A17114">
                    <w:rPr>
                      <w:rFonts w:ascii="Arial" w:eastAsia="Times New Roman" w:hAnsi="Arial" w:cs="Arial"/>
                      <w:lang w:val="en-US"/>
                    </w:rPr>
                    <w:t>Restricted: Rheumatology</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On formulary</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GREEN</w:t>
                  </w:r>
                </w:p>
              </w:tc>
            </w:tr>
            <w:tr w:rsidR="00A17114" w:rsidRPr="00A17114" w:rsidTr="00A17114">
              <w:trPr>
                <w:trHeight w:val="12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b/>
                      <w:bCs/>
                      <w:color w:val="000000"/>
                    </w:rPr>
                  </w:pPr>
                  <w:r w:rsidRPr="00A17114">
                    <w:rPr>
                      <w:rFonts w:ascii="Arial" w:eastAsia="Times New Roman" w:hAnsi="Arial" w:cs="Arial"/>
                      <w:b/>
                      <w:bCs/>
                      <w:color w:val="000000"/>
                    </w:rPr>
                    <w:t>Etoricoxib</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 xml:space="preserve">BLUE </w:t>
                  </w:r>
                  <w:r w:rsidR="00341B28">
                    <w:rPr>
                      <w:rFonts w:ascii="Arial" w:eastAsia="Times New Roman" w:hAnsi="Arial" w:cs="Arial"/>
                      <w:color w:val="000000"/>
                    </w:rPr>
                    <w:t>–</w:t>
                  </w:r>
                  <w:r w:rsidRPr="00A17114">
                    <w:rPr>
                      <w:rFonts w:ascii="Arial" w:eastAsia="Times New Roman" w:hAnsi="Arial" w:cs="Arial"/>
                      <w:color w:val="000000"/>
                    </w:rPr>
                    <w:t xml:space="preserve"> AS</w:t>
                  </w:r>
                  <w:r w:rsidR="00341B28">
                    <w:rPr>
                      <w:rFonts w:ascii="Arial" w:eastAsia="Times New Roman" w:hAnsi="Arial" w:cs="Arial"/>
                      <w:color w:val="000000"/>
                    </w:rPr>
                    <w:t>*</w:t>
                  </w:r>
                  <w:r w:rsidRPr="00A17114">
                    <w:rPr>
                      <w:rFonts w:ascii="Arial" w:eastAsia="Times New Roman" w:hAnsi="Arial" w:cs="Arial"/>
                      <w:color w:val="000000"/>
                    </w:rPr>
                    <w:t>, BLACK - all other indications</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Non formulary</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rPr>
                  </w:pPr>
                  <w:r w:rsidRPr="00A17114">
                    <w:rPr>
                      <w:rFonts w:ascii="Arial" w:eastAsia="Times New Roman" w:hAnsi="Arial" w:cs="Arial"/>
                    </w:rPr>
                    <w:t>Restricted: Rheumatology</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Non formulary</w:t>
                  </w:r>
                </w:p>
              </w:tc>
              <w:tc>
                <w:tcPr>
                  <w:tcW w:w="1560" w:type="dxa"/>
                  <w:tcBorders>
                    <w:top w:val="nil"/>
                    <w:left w:val="nil"/>
                    <w:bottom w:val="single" w:sz="4" w:space="0" w:color="auto"/>
                    <w:right w:val="single" w:sz="4" w:space="0" w:color="auto"/>
                  </w:tcBorders>
                  <w:shd w:val="clear" w:color="auto" w:fill="auto"/>
                  <w:vAlign w:val="center"/>
                  <w:hideMark/>
                </w:tcPr>
                <w:p w:rsidR="00A17114" w:rsidRPr="00A17114" w:rsidRDefault="00A17114" w:rsidP="00A17114">
                  <w:pPr>
                    <w:spacing w:after="0" w:line="240" w:lineRule="auto"/>
                    <w:jc w:val="center"/>
                    <w:rPr>
                      <w:rFonts w:ascii="Arial" w:eastAsia="Times New Roman" w:hAnsi="Arial" w:cs="Arial"/>
                      <w:color w:val="000000"/>
                    </w:rPr>
                  </w:pPr>
                  <w:r w:rsidRPr="00A17114">
                    <w:rPr>
                      <w:rFonts w:ascii="Arial" w:eastAsia="Times New Roman" w:hAnsi="Arial" w:cs="Arial"/>
                      <w:color w:val="000000"/>
                    </w:rPr>
                    <w:t>Non formulary</w:t>
                  </w:r>
                </w:p>
              </w:tc>
            </w:tr>
          </w:tbl>
          <w:p w:rsidR="00A4051E" w:rsidRDefault="00A4051E" w:rsidP="005D5AD0">
            <w:pPr>
              <w:jc w:val="both"/>
              <w:rPr>
                <w:rFonts w:ascii="Arial" w:hAnsi="Arial" w:cs="Arial"/>
                <w:color w:val="1F497D"/>
              </w:rPr>
            </w:pPr>
          </w:p>
          <w:p w:rsidR="00341B28" w:rsidRPr="00341B28" w:rsidRDefault="00341B28" w:rsidP="00341B28">
            <w:pPr>
              <w:jc w:val="both"/>
              <w:rPr>
                <w:rFonts w:ascii="Arial" w:hAnsi="Arial" w:cs="Arial"/>
              </w:rPr>
            </w:pPr>
            <w:r w:rsidRPr="00341B28">
              <w:rPr>
                <w:rFonts w:ascii="Arial" w:hAnsi="Arial" w:cs="Arial"/>
              </w:rPr>
              <w:t>*ankylosing spondylitis</w:t>
            </w:r>
          </w:p>
          <w:p w:rsidR="00A01A16" w:rsidRPr="00CF76D6" w:rsidRDefault="00A01A16" w:rsidP="005D5AD0">
            <w:pPr>
              <w:jc w:val="both"/>
              <w:rPr>
                <w:rFonts w:ascii="Arial" w:hAnsi="Arial" w:cs="Arial"/>
                <w:color w:val="1F497D"/>
              </w:rPr>
            </w:pPr>
          </w:p>
        </w:tc>
      </w:tr>
      <w:tr w:rsidR="00685F00" w:rsidTr="001F1436">
        <w:tblPrEx>
          <w:jc w:val="center"/>
          <w:tblInd w:w="0" w:type="dxa"/>
        </w:tblPrEx>
        <w:trPr>
          <w:trHeight w:val="397"/>
          <w:jc w:val="center"/>
        </w:trPr>
        <w:tc>
          <w:tcPr>
            <w:tcW w:w="10689" w:type="dxa"/>
            <w:gridSpan w:val="3"/>
            <w:shd w:val="clear" w:color="auto" w:fill="F2F2F2" w:themeFill="background1" w:themeFillShade="F2"/>
            <w:vAlign w:val="center"/>
          </w:tcPr>
          <w:p w:rsidR="00685F00" w:rsidRPr="00685F00" w:rsidRDefault="00685F00" w:rsidP="001F1436">
            <w:pPr>
              <w:rPr>
                <w:rFonts w:ascii="Arial" w:hAnsi="Arial" w:cs="Arial"/>
                <w:b/>
              </w:rPr>
            </w:pPr>
            <w:r w:rsidRPr="00685F00">
              <w:rPr>
                <w:rFonts w:ascii="Arial" w:eastAsia="Times New Roman" w:hAnsi="Arial" w:cs="Arial"/>
                <w:b/>
                <w:color w:val="000000"/>
              </w:rPr>
              <w:lastRenderedPageBreak/>
              <w:t>Proposals for APC consideration</w:t>
            </w:r>
          </w:p>
        </w:tc>
      </w:tr>
      <w:tr w:rsidR="00685F00" w:rsidTr="00685F00">
        <w:tblPrEx>
          <w:jc w:val="center"/>
          <w:tblInd w:w="0" w:type="dxa"/>
        </w:tblPrEx>
        <w:trPr>
          <w:trHeight w:val="397"/>
          <w:jc w:val="center"/>
        </w:trPr>
        <w:tc>
          <w:tcPr>
            <w:tcW w:w="10689" w:type="dxa"/>
            <w:gridSpan w:val="3"/>
            <w:shd w:val="clear" w:color="auto" w:fill="FFFFFF" w:themeFill="background1"/>
            <w:vAlign w:val="center"/>
          </w:tcPr>
          <w:p w:rsidR="00685F00" w:rsidRPr="004D66A6" w:rsidRDefault="00685F00" w:rsidP="00685F00">
            <w:pPr>
              <w:rPr>
                <w:rFonts w:ascii="Arial" w:eastAsia="Times New Roman" w:hAnsi="Arial" w:cs="Arial"/>
                <w:b/>
                <w:color w:val="000000"/>
                <w:u w:val="single"/>
              </w:rPr>
            </w:pPr>
            <w:r w:rsidRPr="004D66A6">
              <w:rPr>
                <w:rFonts w:ascii="Arial" w:eastAsia="Times New Roman" w:hAnsi="Arial" w:cs="Arial"/>
                <w:b/>
                <w:color w:val="000000"/>
                <w:u w:val="single"/>
              </w:rPr>
              <w:t>Option 1:</w:t>
            </w:r>
          </w:p>
          <w:p w:rsidR="00685F00" w:rsidRDefault="00685F00" w:rsidP="00685F00">
            <w:pPr>
              <w:rPr>
                <w:rFonts w:ascii="Arial" w:hAnsi="Arial" w:cs="Arial"/>
              </w:rPr>
            </w:pPr>
            <w:r>
              <w:rPr>
                <w:rFonts w:ascii="Arial" w:hAnsi="Arial" w:cs="Arial"/>
              </w:rPr>
              <w:t>Amend the BLACK status of both celecoxib and etoricoxib to GREEN, for use in pain and inflammation.</w:t>
            </w:r>
          </w:p>
          <w:p w:rsidR="00685F00" w:rsidRDefault="00685F00" w:rsidP="00685F00">
            <w:pPr>
              <w:rPr>
                <w:rFonts w:ascii="Arial" w:hAnsi="Arial" w:cs="Arial"/>
              </w:rPr>
            </w:pPr>
            <w:r>
              <w:rPr>
                <w:rFonts w:ascii="Arial" w:hAnsi="Arial" w:cs="Arial"/>
              </w:rPr>
              <w:t xml:space="preserve">And </w:t>
            </w:r>
          </w:p>
          <w:p w:rsidR="00685F00" w:rsidRDefault="00685F00" w:rsidP="00685F00">
            <w:pPr>
              <w:rPr>
                <w:rFonts w:ascii="Arial" w:hAnsi="Arial" w:cs="Arial"/>
              </w:rPr>
            </w:pPr>
            <w:r>
              <w:rPr>
                <w:rFonts w:ascii="Arial" w:hAnsi="Arial" w:cs="Arial"/>
              </w:rPr>
              <w:t>Amend the BLUE status of both celecoxib and etoricoxib for ankylosing spondylitis to GREEN.</w:t>
            </w:r>
          </w:p>
          <w:p w:rsidR="00685F00" w:rsidRDefault="00685F00" w:rsidP="00685F00">
            <w:pPr>
              <w:rPr>
                <w:rFonts w:ascii="Arial" w:hAnsi="Arial" w:cs="Arial"/>
              </w:rPr>
            </w:pPr>
          </w:p>
          <w:p w:rsidR="00685F00" w:rsidRPr="004D66A6" w:rsidRDefault="00685F00" w:rsidP="00685F00">
            <w:pPr>
              <w:rPr>
                <w:rFonts w:ascii="Arial" w:eastAsia="Times New Roman" w:hAnsi="Arial" w:cs="Arial"/>
                <w:b/>
                <w:color w:val="000000"/>
                <w:u w:val="single"/>
              </w:rPr>
            </w:pPr>
            <w:r w:rsidRPr="004D66A6">
              <w:rPr>
                <w:rFonts w:ascii="Arial" w:eastAsia="Times New Roman" w:hAnsi="Arial" w:cs="Arial"/>
                <w:b/>
                <w:color w:val="000000"/>
                <w:u w:val="single"/>
              </w:rPr>
              <w:t>Option 2:</w:t>
            </w:r>
          </w:p>
          <w:p w:rsidR="00685F00" w:rsidRDefault="00685F00" w:rsidP="00685F00">
            <w:pPr>
              <w:rPr>
                <w:rFonts w:ascii="Arial" w:eastAsia="Times New Roman" w:hAnsi="Arial" w:cs="Arial"/>
                <w:color w:val="000000"/>
              </w:rPr>
            </w:pPr>
            <w:r>
              <w:rPr>
                <w:rFonts w:ascii="Arial" w:hAnsi="Arial" w:cs="Arial"/>
              </w:rPr>
              <w:t xml:space="preserve">Amend the BLACK status of both celecoxib and etoricoxib to GREEN, for use in pain and inflammation </w:t>
            </w:r>
            <w:r w:rsidRPr="00A25A1F">
              <w:rPr>
                <w:rFonts w:ascii="Arial" w:eastAsia="Times New Roman" w:hAnsi="Arial" w:cs="Arial"/>
                <w:color w:val="000000"/>
              </w:rPr>
              <w:t xml:space="preserve">with celecoxib as the preferred choice </w:t>
            </w:r>
            <w:r>
              <w:rPr>
                <w:rFonts w:ascii="Arial" w:eastAsia="Times New Roman" w:hAnsi="Arial" w:cs="Arial"/>
                <w:color w:val="000000"/>
              </w:rPr>
              <w:t>of COX-2 inhibitor</w:t>
            </w:r>
          </w:p>
          <w:p w:rsidR="00685F00" w:rsidRDefault="00685F00" w:rsidP="00685F00">
            <w:pPr>
              <w:rPr>
                <w:rFonts w:ascii="Arial" w:eastAsia="Times New Roman" w:hAnsi="Arial" w:cs="Arial"/>
                <w:color w:val="000000"/>
              </w:rPr>
            </w:pPr>
            <w:r>
              <w:rPr>
                <w:rFonts w:ascii="Arial" w:eastAsia="Times New Roman" w:hAnsi="Arial" w:cs="Arial"/>
                <w:color w:val="000000"/>
              </w:rPr>
              <w:t xml:space="preserve">And </w:t>
            </w:r>
          </w:p>
          <w:p w:rsidR="00685F00" w:rsidRDefault="00685F00" w:rsidP="00685F00">
            <w:pPr>
              <w:rPr>
                <w:rFonts w:ascii="Arial" w:eastAsia="Times New Roman" w:hAnsi="Arial" w:cs="Arial"/>
                <w:color w:val="000000"/>
              </w:rPr>
            </w:pPr>
            <w:r>
              <w:rPr>
                <w:rFonts w:ascii="Arial" w:hAnsi="Arial" w:cs="Arial"/>
              </w:rPr>
              <w:t>amend the BLUE status</w:t>
            </w:r>
            <w:r w:rsidRPr="00AE33F4">
              <w:rPr>
                <w:rFonts w:ascii="Arial" w:hAnsi="Arial" w:cs="Arial"/>
              </w:rPr>
              <w:t xml:space="preserve"> </w:t>
            </w:r>
            <w:r>
              <w:rPr>
                <w:rFonts w:ascii="Arial" w:hAnsi="Arial" w:cs="Arial"/>
              </w:rPr>
              <w:t>of both celecoxib and etoricoxib for ankylosing spondylitis to GREEN</w:t>
            </w:r>
            <w:r>
              <w:rPr>
                <w:rFonts w:ascii="Arial" w:eastAsia="Times New Roman" w:hAnsi="Arial" w:cs="Arial"/>
                <w:color w:val="000000"/>
              </w:rPr>
              <w:t xml:space="preserve"> </w:t>
            </w:r>
            <w:r w:rsidRPr="00A25A1F">
              <w:rPr>
                <w:rFonts w:ascii="Arial" w:eastAsia="Times New Roman" w:hAnsi="Arial" w:cs="Arial"/>
                <w:color w:val="000000"/>
              </w:rPr>
              <w:t xml:space="preserve">with celecoxib as the preferred choice </w:t>
            </w:r>
            <w:r>
              <w:rPr>
                <w:rFonts w:ascii="Arial" w:eastAsia="Times New Roman" w:hAnsi="Arial" w:cs="Arial"/>
                <w:color w:val="000000"/>
              </w:rPr>
              <w:t xml:space="preserve">of COX-2 inhibitor </w:t>
            </w:r>
          </w:p>
          <w:p w:rsidR="00685F00" w:rsidRDefault="00685F00" w:rsidP="00685F00">
            <w:pPr>
              <w:rPr>
                <w:rFonts w:ascii="Arial" w:eastAsia="Times New Roman" w:hAnsi="Arial" w:cs="Arial"/>
                <w:color w:val="000000"/>
              </w:rPr>
            </w:pPr>
            <w:r>
              <w:rPr>
                <w:rFonts w:ascii="Arial" w:eastAsia="Times New Roman" w:hAnsi="Arial" w:cs="Arial"/>
                <w:color w:val="000000"/>
              </w:rPr>
              <w:t>Preference of celecoxib is due to:</w:t>
            </w:r>
          </w:p>
          <w:p w:rsidR="00685F00" w:rsidRPr="00A80233" w:rsidRDefault="00685F00" w:rsidP="00685F00">
            <w:pPr>
              <w:pStyle w:val="ListParagraph"/>
              <w:numPr>
                <w:ilvl w:val="0"/>
                <w:numId w:val="28"/>
              </w:numPr>
              <w:rPr>
                <w:rFonts w:ascii="Arial" w:eastAsia="Times New Roman" w:hAnsi="Arial" w:cs="Arial"/>
                <w:color w:val="0E0E0E"/>
              </w:rPr>
            </w:pPr>
            <w:r w:rsidRPr="00A80233">
              <w:rPr>
                <w:rFonts w:ascii="Arial" w:eastAsia="Times New Roman" w:hAnsi="Arial" w:cs="Arial"/>
                <w:color w:val="000000"/>
              </w:rPr>
              <w:t>Contraindication for use of etoricoxib</w:t>
            </w:r>
            <w:r w:rsidRPr="00A80233">
              <w:rPr>
                <w:rFonts w:ascii="Arial" w:eastAsia="Times New Roman" w:hAnsi="Arial" w:cs="Arial"/>
                <w:color w:val="0E0E0E"/>
              </w:rPr>
              <w:t xml:space="preserve"> in people with uncontrolled hypertension (persistently above 140/90 mmHg).</w:t>
            </w:r>
          </w:p>
          <w:p w:rsidR="00685F00" w:rsidRPr="008A16CD" w:rsidRDefault="00685F00" w:rsidP="00685F00">
            <w:pPr>
              <w:pStyle w:val="ListParagraph"/>
              <w:numPr>
                <w:ilvl w:val="0"/>
                <w:numId w:val="28"/>
              </w:numPr>
              <w:rPr>
                <w:rFonts w:ascii="Arial" w:hAnsi="Arial" w:cs="Arial"/>
              </w:rPr>
            </w:pPr>
            <w:r w:rsidRPr="00A80233">
              <w:rPr>
                <w:rFonts w:ascii="Arial" w:eastAsia="Times New Roman" w:hAnsi="Arial" w:cs="Arial"/>
                <w:color w:val="0E0E0E"/>
              </w:rPr>
              <w:t>The specific requirement for blood pressure to be</w:t>
            </w:r>
            <w:r w:rsidRPr="00A80233">
              <w:t xml:space="preserve"> </w:t>
            </w:r>
            <w:r w:rsidRPr="00A80233">
              <w:rPr>
                <w:rFonts w:ascii="Arial" w:eastAsia="Times New Roman" w:hAnsi="Arial" w:cs="Arial"/>
                <w:color w:val="0E0E0E"/>
              </w:rPr>
              <w:t xml:space="preserve">monitored within two weeks after initiation of treatment with etoricoxib and periodically thereafter. </w:t>
            </w:r>
          </w:p>
          <w:p w:rsidR="00685F00" w:rsidRPr="00AE33F4" w:rsidRDefault="00685F00" w:rsidP="00685F00">
            <w:pPr>
              <w:pStyle w:val="ListParagraph"/>
              <w:numPr>
                <w:ilvl w:val="0"/>
                <w:numId w:val="28"/>
              </w:numPr>
              <w:rPr>
                <w:rFonts w:ascii="Arial" w:hAnsi="Arial" w:cs="Arial"/>
              </w:rPr>
            </w:pPr>
            <w:r>
              <w:rPr>
                <w:rFonts w:ascii="Arial" w:eastAsia="Times New Roman" w:hAnsi="Arial" w:cs="Arial"/>
                <w:color w:val="0E0E0E"/>
              </w:rPr>
              <w:t>NICE (use in osteoarthritis) recommends that ‘</w:t>
            </w:r>
            <w:r w:rsidRPr="0029402D">
              <w:rPr>
                <w:rFonts w:ascii="Arial" w:hAnsi="Arial" w:cs="Arial"/>
              </w:rPr>
              <w:t>When offering treatment with an oral NSAID/COX-2 inhibitor, the first choice</w:t>
            </w:r>
            <w:r>
              <w:rPr>
                <w:rFonts w:ascii="Arial" w:hAnsi="Arial" w:cs="Arial"/>
              </w:rPr>
              <w:t xml:space="preserve"> </w:t>
            </w:r>
            <w:r w:rsidRPr="0029402D">
              <w:rPr>
                <w:rFonts w:ascii="Arial" w:hAnsi="Arial" w:cs="Arial"/>
              </w:rPr>
              <w:t>should be either a standard NSAID or a COX-2 inhibitor (other than etoricoxib</w:t>
            </w:r>
            <w:r>
              <w:rPr>
                <w:rFonts w:ascii="Arial" w:hAnsi="Arial" w:cs="Arial"/>
              </w:rPr>
              <w:t xml:space="preserve"> </w:t>
            </w:r>
            <w:r w:rsidRPr="0029402D">
              <w:rPr>
                <w:rFonts w:ascii="Arial" w:hAnsi="Arial" w:cs="Arial"/>
              </w:rPr>
              <w:t>60 mg).</w:t>
            </w:r>
            <w:r>
              <w:rPr>
                <w:rFonts w:ascii="Arial" w:hAnsi="Arial" w:cs="Arial"/>
              </w:rPr>
              <w:t xml:space="preserve">’ so the only first choice for the use of etoricoxib is etoricoxib 30mg, which is much more expensive than celecoxib </w:t>
            </w:r>
            <w:r>
              <w:rPr>
                <w:rFonts w:ascii="Arial" w:eastAsia="Times New Roman" w:hAnsi="Arial" w:cs="Arial"/>
                <w:color w:val="0E0E0E"/>
              </w:rPr>
              <w:t>(see table above).</w:t>
            </w:r>
          </w:p>
          <w:p w:rsidR="00685F00" w:rsidRDefault="00685F00" w:rsidP="00685F00">
            <w:pPr>
              <w:rPr>
                <w:rFonts w:ascii="Arial" w:hAnsi="Arial" w:cs="Arial"/>
                <w:b/>
              </w:rPr>
            </w:pPr>
            <w:r>
              <w:rPr>
                <w:rFonts w:ascii="Arial" w:eastAsia="Times New Roman" w:hAnsi="Arial" w:cs="Arial"/>
                <w:color w:val="0E0E0E"/>
              </w:rPr>
              <w:t>Etoricoxib is marginally more expensive than celecoxib</w:t>
            </w:r>
          </w:p>
        </w:tc>
      </w:tr>
      <w:tr w:rsidR="00324ABD" w:rsidTr="001F1436">
        <w:tblPrEx>
          <w:jc w:val="center"/>
          <w:tblInd w:w="0" w:type="dxa"/>
        </w:tblPrEx>
        <w:trPr>
          <w:trHeight w:val="397"/>
          <w:jc w:val="center"/>
        </w:trPr>
        <w:tc>
          <w:tcPr>
            <w:tcW w:w="10689" w:type="dxa"/>
            <w:gridSpan w:val="3"/>
            <w:shd w:val="clear" w:color="auto" w:fill="F2F2F2" w:themeFill="background1" w:themeFillShade="F2"/>
            <w:vAlign w:val="center"/>
          </w:tcPr>
          <w:p w:rsidR="00324ABD" w:rsidRPr="00936F6F" w:rsidRDefault="00324ABD" w:rsidP="001F1436">
            <w:pPr>
              <w:rPr>
                <w:rFonts w:ascii="Arial" w:hAnsi="Arial" w:cs="Arial"/>
              </w:rPr>
            </w:pPr>
            <w:r>
              <w:rPr>
                <w:rFonts w:ascii="Arial" w:hAnsi="Arial" w:cs="Arial"/>
                <w:b/>
              </w:rPr>
              <w:lastRenderedPageBreak/>
              <w:t>Identified lead for development of necessary documents e.g. shared care agreement</w:t>
            </w:r>
          </w:p>
        </w:tc>
      </w:tr>
      <w:tr w:rsidR="00324ABD" w:rsidTr="001F1436">
        <w:tblPrEx>
          <w:jc w:val="center"/>
          <w:tblInd w:w="0" w:type="dxa"/>
        </w:tblPrEx>
        <w:trPr>
          <w:trHeight w:val="909"/>
          <w:jc w:val="center"/>
        </w:trPr>
        <w:tc>
          <w:tcPr>
            <w:tcW w:w="10689" w:type="dxa"/>
            <w:gridSpan w:val="3"/>
          </w:tcPr>
          <w:p w:rsidR="00324ABD" w:rsidRDefault="00324ABD" w:rsidP="001F1436">
            <w:pPr>
              <w:rPr>
                <w:rFonts w:ascii="Arial" w:hAnsi="Arial" w:cs="Arial"/>
                <w:b/>
              </w:rPr>
            </w:pPr>
            <w:r>
              <w:rPr>
                <w:rFonts w:ascii="Arial" w:hAnsi="Arial" w:cs="Arial"/>
                <w:b/>
              </w:rPr>
              <w:t>Name:</w:t>
            </w:r>
            <w:r w:rsidR="009F62AD">
              <w:rPr>
                <w:rFonts w:ascii="Arial" w:hAnsi="Arial" w:cs="Arial"/>
                <w:b/>
              </w:rPr>
              <w:t xml:space="preserve"> </w:t>
            </w:r>
            <w:r w:rsidR="00B535EA" w:rsidRPr="009F62AD">
              <w:rPr>
                <w:rFonts w:ascii="Arial" w:hAnsi="Arial" w:cs="Arial"/>
              </w:rPr>
              <w:t>Tejinder Bahra</w:t>
            </w:r>
            <w:r w:rsidR="00B535EA">
              <w:rPr>
                <w:rFonts w:ascii="Arial" w:hAnsi="Arial" w:cs="Arial"/>
              </w:rPr>
              <w:t xml:space="preserve"> </w:t>
            </w:r>
          </w:p>
          <w:p w:rsidR="00324ABD" w:rsidRDefault="00324ABD" w:rsidP="001F1436">
            <w:pPr>
              <w:rPr>
                <w:rFonts w:ascii="Arial" w:hAnsi="Arial" w:cs="Arial"/>
                <w:b/>
              </w:rPr>
            </w:pPr>
            <w:r>
              <w:rPr>
                <w:rFonts w:ascii="Arial" w:hAnsi="Arial" w:cs="Arial"/>
                <w:b/>
              </w:rPr>
              <w:t>Designation:</w:t>
            </w:r>
            <w:r w:rsidR="009F62AD">
              <w:rPr>
                <w:rFonts w:ascii="Arial" w:hAnsi="Arial" w:cs="Arial"/>
                <w:b/>
              </w:rPr>
              <w:t xml:space="preserve"> </w:t>
            </w:r>
            <w:r w:rsidR="009F62AD" w:rsidRPr="009F62AD">
              <w:rPr>
                <w:rFonts w:ascii="Arial" w:hAnsi="Arial" w:cs="Arial"/>
              </w:rPr>
              <w:t>Lead Commissioning Pharmacist</w:t>
            </w:r>
          </w:p>
          <w:p w:rsidR="00324ABD" w:rsidRDefault="00324ABD" w:rsidP="001F1436">
            <w:pPr>
              <w:rPr>
                <w:rFonts w:ascii="Arial" w:hAnsi="Arial" w:cs="Arial"/>
                <w:b/>
              </w:rPr>
            </w:pPr>
            <w:r>
              <w:rPr>
                <w:rFonts w:ascii="Arial" w:hAnsi="Arial" w:cs="Arial"/>
                <w:b/>
              </w:rPr>
              <w:t>Organisation:</w:t>
            </w:r>
            <w:r w:rsidR="001A2967">
              <w:rPr>
                <w:rFonts w:ascii="Arial" w:hAnsi="Arial" w:cs="Arial"/>
                <w:b/>
              </w:rPr>
              <w:t xml:space="preserve"> </w:t>
            </w:r>
            <w:r w:rsidR="009F62AD" w:rsidRPr="00B535EA">
              <w:rPr>
                <w:rFonts w:ascii="Arial" w:hAnsi="Arial" w:cs="Arial"/>
              </w:rPr>
              <w:t>Surrey</w:t>
            </w:r>
            <w:r w:rsidR="009F62AD" w:rsidRPr="009F62AD">
              <w:rPr>
                <w:rFonts w:ascii="Arial" w:hAnsi="Arial" w:cs="Arial"/>
              </w:rPr>
              <w:t xml:space="preserve"> Downs CCG</w:t>
            </w:r>
          </w:p>
          <w:p w:rsidR="00324ABD" w:rsidRDefault="00324ABD" w:rsidP="001A2967">
            <w:pPr>
              <w:rPr>
                <w:rFonts w:ascii="Arial" w:hAnsi="Arial" w:cs="Arial"/>
                <w:b/>
              </w:rPr>
            </w:pPr>
            <w:r>
              <w:rPr>
                <w:rFonts w:ascii="Arial" w:hAnsi="Arial" w:cs="Arial"/>
                <w:b/>
              </w:rPr>
              <w:t>Estimated date of preparation:</w:t>
            </w:r>
            <w:r w:rsidR="00B535EA">
              <w:rPr>
                <w:rFonts w:ascii="Arial" w:hAnsi="Arial" w:cs="Arial"/>
                <w:b/>
              </w:rPr>
              <w:t xml:space="preserve"> </w:t>
            </w:r>
          </w:p>
        </w:tc>
      </w:tr>
    </w:tbl>
    <w:p w:rsidR="00C93D67" w:rsidRDefault="00C93D67" w:rsidP="00C93D67">
      <w:pPr>
        <w:spacing w:after="0" w:line="240" w:lineRule="auto"/>
        <w:rPr>
          <w:rFonts w:ascii="Arial" w:hAnsi="Arial" w:cs="Arial"/>
          <w:b/>
        </w:rPr>
      </w:pPr>
    </w:p>
    <w:p w:rsidR="00C93D67" w:rsidRDefault="00C93D67" w:rsidP="00AE33F4">
      <w:pPr>
        <w:rPr>
          <w:rFonts w:ascii="Arial" w:hAnsi="Arial" w:cs="Arial"/>
          <w:b/>
        </w:rPr>
      </w:pPr>
      <w:r w:rsidRPr="001D46B8">
        <w:rPr>
          <w:rFonts w:ascii="Arial" w:hAnsi="Arial" w:cs="Arial"/>
          <w:b/>
        </w:rPr>
        <w:t>References:</w:t>
      </w:r>
    </w:p>
    <w:p w:rsidR="002908FF" w:rsidRPr="0029402D" w:rsidRDefault="002908FF" w:rsidP="0029402D">
      <w:pPr>
        <w:pStyle w:val="ListParagraph"/>
        <w:numPr>
          <w:ilvl w:val="0"/>
          <w:numId w:val="22"/>
        </w:numPr>
        <w:shd w:val="clear" w:color="auto" w:fill="FFFFFF"/>
        <w:spacing w:after="0" w:line="240" w:lineRule="auto"/>
        <w:outlineLvl w:val="1"/>
        <w:rPr>
          <w:rFonts w:ascii="Arial" w:hAnsi="Arial" w:cs="Arial"/>
        </w:rPr>
      </w:pPr>
      <w:r w:rsidRPr="0029402D">
        <w:rPr>
          <w:rFonts w:ascii="Arial" w:hAnsi="Arial" w:cs="Arial"/>
        </w:rPr>
        <w:t xml:space="preserve">eMC (electronic Medicines Compendium). DataPharm. </w:t>
      </w:r>
    </w:p>
    <w:p w:rsidR="002908FF" w:rsidRPr="00501848" w:rsidRDefault="002908FF" w:rsidP="0029402D">
      <w:pPr>
        <w:shd w:val="clear" w:color="auto" w:fill="FFFFFF"/>
        <w:spacing w:after="0" w:line="240" w:lineRule="auto"/>
        <w:ind w:left="720"/>
        <w:outlineLvl w:val="1"/>
        <w:rPr>
          <w:rFonts w:ascii="Arial" w:hAnsi="Arial" w:cs="Arial"/>
        </w:rPr>
      </w:pPr>
      <w:r w:rsidRPr="00501848">
        <w:rPr>
          <w:rFonts w:ascii="Arial" w:hAnsi="Arial" w:cs="Arial"/>
        </w:rPr>
        <w:t>Celebrex Spc. Available at:</w:t>
      </w:r>
      <w:r w:rsidRPr="002908FF">
        <w:t xml:space="preserve"> </w:t>
      </w:r>
      <w:hyperlink r:id="rId20" w:history="1">
        <w:r w:rsidRPr="00501848">
          <w:rPr>
            <w:rStyle w:val="Hyperlink"/>
            <w:rFonts w:ascii="Arial" w:hAnsi="Arial" w:cs="Arial"/>
          </w:rPr>
          <w:t>https://www.medicines.org.uk/emc/product/5533/smpc</w:t>
        </w:r>
      </w:hyperlink>
      <w:r w:rsidRPr="00501848">
        <w:rPr>
          <w:rFonts w:ascii="Arial" w:hAnsi="Arial" w:cs="Arial"/>
        </w:rPr>
        <w:t xml:space="preserve">  Accessed &lt;30.5.19&gt; </w:t>
      </w:r>
    </w:p>
    <w:p w:rsidR="002908FF" w:rsidRPr="0029402D" w:rsidRDefault="002908FF" w:rsidP="0029402D">
      <w:pPr>
        <w:shd w:val="clear" w:color="auto" w:fill="FFFFFF"/>
        <w:spacing w:after="0" w:line="240" w:lineRule="auto"/>
        <w:ind w:left="720"/>
        <w:outlineLvl w:val="1"/>
        <w:rPr>
          <w:rFonts w:ascii="Arial" w:hAnsi="Arial" w:cs="Arial"/>
        </w:rPr>
      </w:pPr>
      <w:r w:rsidRPr="0029402D">
        <w:rPr>
          <w:rFonts w:ascii="Arial" w:hAnsi="Arial" w:cs="Arial"/>
        </w:rPr>
        <w:t xml:space="preserve">Arcoxia SPc. Avaialble at: </w:t>
      </w:r>
      <w:hyperlink r:id="rId21" w:history="1">
        <w:r w:rsidR="00D363F2" w:rsidRPr="0029402D">
          <w:rPr>
            <w:rStyle w:val="Hyperlink"/>
            <w:rFonts w:ascii="Arial" w:hAnsi="Arial" w:cs="Arial"/>
          </w:rPr>
          <w:t>https://www.medicines.org.uk/emc/product/3302/smpc</w:t>
        </w:r>
      </w:hyperlink>
      <w:r w:rsidR="00D363F2" w:rsidRPr="0029402D">
        <w:rPr>
          <w:rFonts w:ascii="Arial" w:hAnsi="Arial" w:cs="Arial"/>
        </w:rPr>
        <w:t xml:space="preserve"> </w:t>
      </w:r>
      <w:r w:rsidRPr="0029402D">
        <w:rPr>
          <w:rFonts w:ascii="Arial" w:hAnsi="Arial" w:cs="Arial"/>
        </w:rPr>
        <w:t>Acces</w:t>
      </w:r>
      <w:r w:rsidR="00D363F2" w:rsidRPr="0029402D">
        <w:rPr>
          <w:rFonts w:ascii="Arial" w:hAnsi="Arial" w:cs="Arial"/>
        </w:rPr>
        <w:t>sed &lt;30.5.19</w:t>
      </w:r>
      <w:r w:rsidRPr="0029402D">
        <w:rPr>
          <w:rFonts w:ascii="Arial" w:hAnsi="Arial" w:cs="Arial"/>
        </w:rPr>
        <w:t>&gt;</w:t>
      </w:r>
    </w:p>
    <w:p w:rsidR="003143FB" w:rsidRDefault="003143FB" w:rsidP="0029402D">
      <w:pPr>
        <w:pStyle w:val="ListParagraph"/>
        <w:shd w:val="clear" w:color="auto" w:fill="FFFFFF"/>
        <w:spacing w:after="0" w:line="240" w:lineRule="auto"/>
        <w:ind w:left="360"/>
        <w:outlineLvl w:val="1"/>
        <w:rPr>
          <w:rFonts w:ascii="Arial" w:hAnsi="Arial" w:cs="Arial"/>
        </w:rPr>
      </w:pPr>
    </w:p>
    <w:p w:rsidR="00501848" w:rsidRPr="0029402D" w:rsidRDefault="00501848" w:rsidP="0029402D">
      <w:pPr>
        <w:pStyle w:val="ListParagraph"/>
        <w:numPr>
          <w:ilvl w:val="0"/>
          <w:numId w:val="22"/>
        </w:numPr>
        <w:shd w:val="clear" w:color="auto" w:fill="FFFFFF"/>
        <w:spacing w:after="0" w:line="240" w:lineRule="auto"/>
        <w:outlineLvl w:val="1"/>
        <w:rPr>
          <w:rFonts w:ascii="Arial" w:hAnsi="Arial" w:cs="Arial"/>
        </w:rPr>
      </w:pPr>
      <w:r w:rsidRPr="0029402D">
        <w:rPr>
          <w:rFonts w:ascii="Arial" w:hAnsi="Arial" w:cs="Arial"/>
        </w:rPr>
        <w:t xml:space="preserve">Osteoarthritis: care and management Clinical guideline Published: 12 February 2014. NICE. Available at: </w:t>
      </w:r>
      <w:hyperlink r:id="rId22" w:history="1">
        <w:r w:rsidRPr="0029402D">
          <w:rPr>
            <w:rStyle w:val="Hyperlink"/>
            <w:rFonts w:ascii="Arial" w:hAnsi="Arial" w:cs="Arial"/>
          </w:rPr>
          <w:t>https://www.nice.org.uk/guidance/cg177</w:t>
        </w:r>
      </w:hyperlink>
      <w:r w:rsidRPr="0029402D">
        <w:rPr>
          <w:rFonts w:ascii="Arial" w:hAnsi="Arial" w:cs="Arial"/>
        </w:rPr>
        <w:t xml:space="preserve"> Accessed &lt;30.5.19&gt;</w:t>
      </w:r>
    </w:p>
    <w:p w:rsidR="00501848" w:rsidRDefault="00501848" w:rsidP="0029402D">
      <w:pPr>
        <w:pStyle w:val="ListParagraph"/>
        <w:shd w:val="clear" w:color="auto" w:fill="FFFFFF"/>
        <w:spacing w:after="0" w:line="240" w:lineRule="auto"/>
        <w:ind w:left="360"/>
        <w:outlineLvl w:val="1"/>
        <w:rPr>
          <w:rFonts w:ascii="Arial" w:hAnsi="Arial" w:cs="Arial"/>
        </w:rPr>
      </w:pPr>
    </w:p>
    <w:p w:rsidR="002C1312" w:rsidRDefault="00D615CB" w:rsidP="002C1312">
      <w:pPr>
        <w:pStyle w:val="ListParagraph"/>
        <w:numPr>
          <w:ilvl w:val="0"/>
          <w:numId w:val="22"/>
        </w:numPr>
        <w:shd w:val="clear" w:color="auto" w:fill="FFFFFF"/>
        <w:spacing w:after="0" w:line="240" w:lineRule="auto"/>
        <w:outlineLvl w:val="1"/>
        <w:rPr>
          <w:rFonts w:ascii="Arial" w:hAnsi="Arial" w:cs="Arial"/>
        </w:rPr>
      </w:pPr>
      <w:r>
        <w:rPr>
          <w:rFonts w:ascii="Arial" w:hAnsi="Arial" w:cs="Arial"/>
        </w:rPr>
        <w:t xml:space="preserve">CKS Rheumatoid arthritis. </w:t>
      </w:r>
      <w:r w:rsidR="002C1312" w:rsidRPr="002C1312">
        <w:rPr>
          <w:rFonts w:ascii="Arial" w:hAnsi="Arial" w:cs="Arial"/>
        </w:rPr>
        <w:t>Scenario: Suspected rheumatoid arthritis</w:t>
      </w:r>
      <w:r w:rsidR="002C1312">
        <w:rPr>
          <w:rFonts w:ascii="Arial" w:hAnsi="Arial" w:cs="Arial"/>
        </w:rPr>
        <w:t>. Available at:</w:t>
      </w:r>
      <w:r>
        <w:rPr>
          <w:rFonts w:ascii="Arial" w:hAnsi="Arial" w:cs="Arial"/>
        </w:rPr>
        <w:t xml:space="preserve"> </w:t>
      </w:r>
      <w:hyperlink r:id="rId23" w:anchor="!scenario" w:history="1">
        <w:r w:rsidR="002C1312" w:rsidRPr="003776B0">
          <w:rPr>
            <w:rStyle w:val="Hyperlink"/>
            <w:rFonts w:ascii="Arial" w:hAnsi="Arial" w:cs="Arial"/>
          </w:rPr>
          <w:t>https://cks.nice.org.uk/rheumatoid-arthritis#!scenario</w:t>
        </w:r>
      </w:hyperlink>
      <w:r w:rsidR="002C1312">
        <w:rPr>
          <w:rFonts w:ascii="Arial" w:hAnsi="Arial" w:cs="Arial"/>
        </w:rPr>
        <w:t xml:space="preserve"> Accessed &lt;10.6.19&gt;</w:t>
      </w:r>
    </w:p>
    <w:p w:rsidR="00D615CB" w:rsidRPr="00D615CB" w:rsidRDefault="00D615CB" w:rsidP="00D615CB">
      <w:pPr>
        <w:pStyle w:val="ListParagraph"/>
        <w:rPr>
          <w:rFonts w:ascii="Arial" w:hAnsi="Arial" w:cs="Arial"/>
        </w:rPr>
      </w:pPr>
    </w:p>
    <w:p w:rsidR="00D615CB" w:rsidRPr="00D615CB" w:rsidRDefault="00D615CB" w:rsidP="00D615CB">
      <w:pPr>
        <w:pStyle w:val="ListParagraph"/>
        <w:numPr>
          <w:ilvl w:val="0"/>
          <w:numId w:val="22"/>
        </w:numPr>
        <w:shd w:val="clear" w:color="auto" w:fill="FFFFFF"/>
        <w:spacing w:after="0" w:line="240" w:lineRule="auto"/>
        <w:outlineLvl w:val="1"/>
        <w:rPr>
          <w:rFonts w:ascii="Arial" w:hAnsi="Arial" w:cs="Arial"/>
        </w:rPr>
      </w:pPr>
      <w:r w:rsidRPr="00D615CB">
        <w:rPr>
          <w:rFonts w:ascii="Arial" w:hAnsi="Arial" w:cs="Arial"/>
        </w:rPr>
        <w:t xml:space="preserve">CKS Ankylosing spondylitis. Scenario: Suspected ankylosing spondylitis. Available at: </w:t>
      </w:r>
      <w:hyperlink r:id="rId24" w:anchor="!scenario" w:history="1">
        <w:r w:rsidRPr="00D615CB">
          <w:rPr>
            <w:rStyle w:val="Hyperlink"/>
            <w:rFonts w:ascii="Arial" w:hAnsi="Arial" w:cs="Arial"/>
          </w:rPr>
          <w:t>https://cks.nice.org.uk/ankylosing-spondylitis#!scenario</w:t>
        </w:r>
      </w:hyperlink>
      <w:r w:rsidRPr="00D615CB">
        <w:rPr>
          <w:rFonts w:ascii="Arial" w:hAnsi="Arial" w:cs="Arial"/>
        </w:rPr>
        <w:t xml:space="preserve"> Accessed &lt;10.6.19&gt;</w:t>
      </w:r>
    </w:p>
    <w:p w:rsidR="00D615CB" w:rsidRPr="00D615CB" w:rsidRDefault="00D615CB" w:rsidP="00D615CB">
      <w:pPr>
        <w:pStyle w:val="ListParagraph"/>
        <w:shd w:val="clear" w:color="auto" w:fill="FFFFFF"/>
        <w:spacing w:after="0" w:line="240" w:lineRule="auto"/>
        <w:outlineLvl w:val="1"/>
        <w:rPr>
          <w:rFonts w:ascii="Arial" w:hAnsi="Arial" w:cs="Arial"/>
        </w:rPr>
      </w:pPr>
    </w:p>
    <w:p w:rsidR="003143FB" w:rsidRPr="0029402D" w:rsidRDefault="003143FB" w:rsidP="002C1312">
      <w:pPr>
        <w:pStyle w:val="ListParagraph"/>
        <w:numPr>
          <w:ilvl w:val="0"/>
          <w:numId w:val="22"/>
        </w:numPr>
        <w:shd w:val="clear" w:color="auto" w:fill="FFFFFF"/>
        <w:spacing w:after="0" w:line="240" w:lineRule="auto"/>
        <w:outlineLvl w:val="1"/>
        <w:rPr>
          <w:rFonts w:ascii="Arial" w:hAnsi="Arial" w:cs="Arial"/>
        </w:rPr>
      </w:pPr>
      <w:r w:rsidRPr="0029402D">
        <w:rPr>
          <w:rFonts w:ascii="Arial" w:hAnsi="Arial" w:cs="Arial"/>
        </w:rPr>
        <w:t>May 2019 Drug Tariff. Available at:</w:t>
      </w:r>
      <w:r w:rsidRPr="003143FB">
        <w:t xml:space="preserve"> </w:t>
      </w:r>
      <w:hyperlink r:id="rId25" w:anchor="/00703110-DB/DB00703105/Home" w:history="1">
        <w:r w:rsidRPr="0029402D">
          <w:rPr>
            <w:rStyle w:val="Hyperlink"/>
            <w:rFonts w:ascii="Arial" w:hAnsi="Arial" w:cs="Arial"/>
          </w:rPr>
          <w:t>http://www.drugtariff.nhsbsa.nhs.uk/#/00703110-DB/DB00703105/Home</w:t>
        </w:r>
      </w:hyperlink>
      <w:r w:rsidRPr="0029402D">
        <w:rPr>
          <w:rFonts w:ascii="Arial" w:hAnsi="Arial" w:cs="Arial"/>
        </w:rPr>
        <w:t xml:space="preserve">  Accessed &lt;30.5.19&gt;</w:t>
      </w:r>
    </w:p>
    <w:p w:rsidR="00AE542B" w:rsidRDefault="00B535EA" w:rsidP="001A2967">
      <w:pPr>
        <w:spacing w:after="0" w:line="240" w:lineRule="auto"/>
        <w:ind w:left="720" w:hanging="720"/>
        <w:rPr>
          <w:rFonts w:ascii="Arial" w:hAnsi="Arial" w:cs="Arial"/>
        </w:rPr>
      </w:pPr>
      <w:r>
        <w:rPr>
          <w:rFonts w:ascii="Arial" w:hAnsi="Arial" w:cs="Arial"/>
          <w:b/>
        </w:rPr>
        <w:tab/>
      </w:r>
    </w:p>
    <w:p w:rsidR="00C93D67" w:rsidRPr="001D46B8" w:rsidRDefault="00C93D67" w:rsidP="00C93D67">
      <w:pPr>
        <w:rPr>
          <w:rFonts w:ascii="Arial" w:hAnsi="Arial" w:cs="Arial"/>
          <w:b/>
        </w:rPr>
      </w:pPr>
      <w:r w:rsidRPr="001D46B8">
        <w:rPr>
          <w:rFonts w:ascii="Arial" w:hAnsi="Arial" w:cs="Arial"/>
          <w:b/>
        </w:rPr>
        <w:t>Prepared by:</w:t>
      </w:r>
    </w:p>
    <w:p w:rsidR="00DA53CD" w:rsidRPr="00DA53CD" w:rsidRDefault="00DA53CD" w:rsidP="00DA53CD">
      <w:pPr>
        <w:rPr>
          <w:rFonts w:ascii="Arial" w:eastAsia="Calibri" w:hAnsi="Arial" w:cs="Arial"/>
          <w:lang w:eastAsia="en-US"/>
        </w:rPr>
      </w:pPr>
      <w:r w:rsidRPr="00DA53CD">
        <w:rPr>
          <w:rFonts w:ascii="Arial" w:eastAsia="Calibri" w:hAnsi="Arial" w:cs="Arial"/>
          <w:lang w:eastAsia="en-US"/>
        </w:rPr>
        <w:t>Tejinder Bahra, Lead Commissioning Pharmacist, Surrey Downs CCG</w:t>
      </w:r>
    </w:p>
    <w:p w:rsidR="00DA53CD" w:rsidRDefault="00DA53CD" w:rsidP="00DA53CD">
      <w:pPr>
        <w:rPr>
          <w:rFonts w:ascii="Arial" w:eastAsia="Calibri" w:hAnsi="Arial" w:cs="Arial"/>
          <w:u w:val="single"/>
          <w:lang w:eastAsia="en-US"/>
        </w:rPr>
      </w:pPr>
      <w:r w:rsidRPr="00DA53CD">
        <w:rPr>
          <w:rFonts w:ascii="Arial" w:eastAsia="Calibri" w:hAnsi="Arial" w:cs="Arial"/>
          <w:u w:val="single"/>
          <w:lang w:eastAsia="en-US"/>
        </w:rPr>
        <w:t>Declaration of Interest:</w:t>
      </w:r>
    </w:p>
    <w:p w:rsidR="00B535EA" w:rsidRPr="00B535EA" w:rsidRDefault="00C55B1F" w:rsidP="00DA53CD">
      <w:pPr>
        <w:rPr>
          <w:rFonts w:ascii="Arial" w:eastAsia="Calibri" w:hAnsi="Arial" w:cs="Arial"/>
          <w:lang w:eastAsia="en-US"/>
        </w:rPr>
      </w:pPr>
      <w:r>
        <w:rPr>
          <w:rFonts w:ascii="Arial" w:eastAsia="Calibri" w:hAnsi="Arial" w:cs="Arial"/>
          <w:lang w:eastAsia="en-US"/>
        </w:rPr>
        <w:t>Indirect shareholder – Pfizer.</w:t>
      </w:r>
    </w:p>
    <w:p w:rsidR="00DA53CD" w:rsidRPr="00DA53CD" w:rsidRDefault="00DA53CD" w:rsidP="00DA53CD">
      <w:pPr>
        <w:rPr>
          <w:rFonts w:ascii="Arial" w:eastAsia="Calibri" w:hAnsi="Arial" w:cs="Arial"/>
          <w:lang w:eastAsia="en-US"/>
        </w:rPr>
      </w:pPr>
      <w:r>
        <w:rPr>
          <w:rFonts w:ascii="Arial" w:eastAsia="Calibri" w:hAnsi="Arial" w:cs="Arial"/>
          <w:lang w:eastAsia="en-US"/>
        </w:rPr>
        <w:t xml:space="preserve">Date: </w:t>
      </w:r>
      <w:r w:rsidR="008A5AB5">
        <w:rPr>
          <w:rFonts w:ascii="Arial" w:eastAsia="Calibri" w:hAnsi="Arial" w:cs="Arial"/>
          <w:lang w:eastAsia="en-US"/>
        </w:rPr>
        <w:t>11.6.19</w:t>
      </w:r>
    </w:p>
    <w:p w:rsidR="00C93D67" w:rsidRDefault="00C93D67" w:rsidP="00C93D67">
      <w:pPr>
        <w:rPr>
          <w:rFonts w:ascii="Arial" w:hAnsi="Arial" w:cs="Arial"/>
          <w:b/>
        </w:rPr>
      </w:pPr>
      <w:r w:rsidRPr="001D46B8">
        <w:rPr>
          <w:rFonts w:ascii="Arial" w:hAnsi="Arial" w:cs="Arial"/>
          <w:b/>
        </w:rPr>
        <w:t>Reviewed by:</w:t>
      </w:r>
      <w:r w:rsidR="00685F00">
        <w:rPr>
          <w:rFonts w:ascii="Arial" w:hAnsi="Arial" w:cs="Arial"/>
          <w:b/>
        </w:rPr>
        <w:t xml:space="preserve"> Sarah Watkin, Associate Director of Pharmaceutical Commissioning</w:t>
      </w:r>
    </w:p>
    <w:p w:rsidR="00C93D67" w:rsidRPr="00685F00" w:rsidRDefault="00685F00" w:rsidP="00C93D67">
      <w:pPr>
        <w:rPr>
          <w:rFonts w:ascii="Arial" w:hAnsi="Arial" w:cs="Arial"/>
        </w:rPr>
      </w:pPr>
      <w:r>
        <w:rPr>
          <w:rFonts w:ascii="Arial" w:hAnsi="Arial" w:cs="Arial"/>
          <w:u w:val="single"/>
        </w:rPr>
        <w:t>Declaration of Interest:</w:t>
      </w:r>
      <w:r>
        <w:rPr>
          <w:rFonts w:ascii="Arial" w:hAnsi="Arial" w:cs="Arial"/>
        </w:rPr>
        <w:t xml:space="preserve"> None to declare</w:t>
      </w:r>
    </w:p>
    <w:p w:rsidR="00C93D67" w:rsidRDefault="00C93D67" w:rsidP="00C93D67">
      <w:pPr>
        <w:rPr>
          <w:rFonts w:ascii="Arial" w:hAnsi="Arial" w:cs="Arial"/>
        </w:rPr>
      </w:pPr>
      <w:r>
        <w:rPr>
          <w:rFonts w:ascii="Arial" w:hAnsi="Arial" w:cs="Arial"/>
        </w:rPr>
        <w:t>Date</w:t>
      </w:r>
      <w:r w:rsidR="00B535EA">
        <w:rPr>
          <w:rFonts w:ascii="Arial" w:hAnsi="Arial" w:cs="Arial"/>
        </w:rPr>
        <w:t xml:space="preserve">: </w:t>
      </w:r>
      <w:r w:rsidR="00685F00">
        <w:rPr>
          <w:rFonts w:ascii="Arial" w:hAnsi="Arial" w:cs="Arial"/>
        </w:rPr>
        <w:t>11/6/19</w:t>
      </w:r>
    </w:p>
    <w:p w:rsidR="00C93D67" w:rsidRPr="003E3AD1" w:rsidRDefault="00C93D67" w:rsidP="00C93D67">
      <w:pPr>
        <w:rPr>
          <w:rFonts w:ascii="Arial" w:hAnsi="Arial" w:cs="Arial"/>
        </w:rPr>
      </w:pPr>
      <w:r w:rsidRPr="003E3AD1">
        <w:rPr>
          <w:rFonts w:ascii="Arial" w:hAnsi="Arial" w:cs="Arial"/>
          <w:b/>
        </w:rPr>
        <w:t>VERSION CONTROL SHEET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96"/>
        <w:gridCol w:w="1147"/>
        <w:gridCol w:w="2105"/>
        <w:gridCol w:w="1005"/>
        <w:gridCol w:w="5245"/>
      </w:tblGrid>
      <w:tr w:rsidR="00C93D67" w:rsidRPr="00674B8B" w:rsidTr="00A80233">
        <w:tc>
          <w:tcPr>
            <w:tcW w:w="1096" w:type="dxa"/>
            <w:shd w:val="clear" w:color="auto" w:fill="E6E6E6"/>
          </w:tcPr>
          <w:p w:rsidR="00C93D67" w:rsidRPr="00674B8B" w:rsidRDefault="00C93D67" w:rsidP="005865F3">
            <w:pPr>
              <w:spacing w:before="80" w:after="80"/>
              <w:jc w:val="center"/>
              <w:rPr>
                <w:rFonts w:ascii="Arial" w:hAnsi="Arial" w:cs="Arial"/>
                <w:b/>
              </w:rPr>
            </w:pPr>
            <w:r w:rsidRPr="00674B8B">
              <w:rPr>
                <w:rFonts w:ascii="Arial" w:hAnsi="Arial" w:cs="Arial"/>
                <w:b/>
              </w:rPr>
              <w:t>Version</w:t>
            </w:r>
          </w:p>
        </w:tc>
        <w:tc>
          <w:tcPr>
            <w:tcW w:w="1147" w:type="dxa"/>
            <w:shd w:val="clear" w:color="auto" w:fill="E6E6E6"/>
          </w:tcPr>
          <w:p w:rsidR="00C93D67" w:rsidRPr="00674B8B" w:rsidRDefault="00C93D67" w:rsidP="005865F3">
            <w:pPr>
              <w:spacing w:before="80" w:after="80"/>
              <w:jc w:val="center"/>
              <w:rPr>
                <w:rFonts w:ascii="Arial" w:hAnsi="Arial" w:cs="Arial"/>
                <w:b/>
              </w:rPr>
            </w:pPr>
            <w:r w:rsidRPr="00674B8B">
              <w:rPr>
                <w:rFonts w:ascii="Arial" w:hAnsi="Arial" w:cs="Arial"/>
                <w:b/>
              </w:rPr>
              <w:t>Date</w:t>
            </w:r>
          </w:p>
        </w:tc>
        <w:tc>
          <w:tcPr>
            <w:tcW w:w="2105" w:type="dxa"/>
            <w:shd w:val="clear" w:color="auto" w:fill="E6E6E6"/>
          </w:tcPr>
          <w:p w:rsidR="00C93D67" w:rsidRPr="00674B8B" w:rsidRDefault="00C93D67" w:rsidP="005865F3">
            <w:pPr>
              <w:spacing w:before="80" w:after="80"/>
              <w:jc w:val="center"/>
              <w:rPr>
                <w:rFonts w:ascii="Arial" w:hAnsi="Arial" w:cs="Arial"/>
                <w:b/>
              </w:rPr>
            </w:pPr>
            <w:r w:rsidRPr="00674B8B">
              <w:rPr>
                <w:rFonts w:ascii="Arial" w:hAnsi="Arial" w:cs="Arial"/>
                <w:b/>
              </w:rPr>
              <w:t>Author</w:t>
            </w:r>
          </w:p>
        </w:tc>
        <w:tc>
          <w:tcPr>
            <w:tcW w:w="1005" w:type="dxa"/>
            <w:shd w:val="clear" w:color="auto" w:fill="E6E6E6"/>
          </w:tcPr>
          <w:p w:rsidR="00C93D67" w:rsidRPr="00674B8B" w:rsidRDefault="00C93D67" w:rsidP="005865F3">
            <w:pPr>
              <w:spacing w:before="80" w:after="80"/>
              <w:jc w:val="center"/>
              <w:rPr>
                <w:rFonts w:ascii="Arial" w:hAnsi="Arial" w:cs="Arial"/>
                <w:b/>
              </w:rPr>
            </w:pPr>
            <w:r w:rsidRPr="00674B8B">
              <w:rPr>
                <w:rFonts w:ascii="Arial" w:hAnsi="Arial" w:cs="Arial"/>
                <w:b/>
              </w:rPr>
              <w:t>Status</w:t>
            </w:r>
          </w:p>
        </w:tc>
        <w:tc>
          <w:tcPr>
            <w:tcW w:w="5245" w:type="dxa"/>
            <w:shd w:val="clear" w:color="auto" w:fill="E6E6E6"/>
          </w:tcPr>
          <w:p w:rsidR="00C93D67" w:rsidRPr="00674B8B" w:rsidRDefault="00C93D67" w:rsidP="005865F3">
            <w:pPr>
              <w:spacing w:before="80" w:after="80"/>
              <w:jc w:val="center"/>
              <w:rPr>
                <w:rFonts w:ascii="Arial" w:hAnsi="Arial" w:cs="Arial"/>
                <w:b/>
              </w:rPr>
            </w:pPr>
            <w:r w:rsidRPr="00674B8B">
              <w:rPr>
                <w:rFonts w:ascii="Arial" w:hAnsi="Arial" w:cs="Arial"/>
                <w:b/>
              </w:rPr>
              <w:t>Comment</w:t>
            </w:r>
          </w:p>
        </w:tc>
      </w:tr>
      <w:tr w:rsidR="00C93D67" w:rsidRPr="00DC4829" w:rsidTr="00A80233">
        <w:tc>
          <w:tcPr>
            <w:tcW w:w="1096" w:type="dxa"/>
          </w:tcPr>
          <w:p w:rsidR="00C93D67" w:rsidRPr="00EE066E" w:rsidRDefault="00C93D67" w:rsidP="005865F3">
            <w:pPr>
              <w:spacing w:before="80" w:after="80"/>
              <w:jc w:val="both"/>
              <w:rPr>
                <w:rFonts w:ascii="Arial" w:hAnsi="Arial" w:cs="Arial"/>
              </w:rPr>
            </w:pPr>
            <w:r w:rsidRPr="00EE066E">
              <w:rPr>
                <w:rFonts w:ascii="Arial" w:hAnsi="Arial" w:cs="Arial"/>
              </w:rPr>
              <w:t>v.1</w:t>
            </w:r>
          </w:p>
        </w:tc>
        <w:tc>
          <w:tcPr>
            <w:tcW w:w="1147" w:type="dxa"/>
          </w:tcPr>
          <w:p w:rsidR="00C93D67" w:rsidRPr="00EE066E" w:rsidRDefault="00A80233" w:rsidP="005865F3">
            <w:pPr>
              <w:spacing w:before="80" w:after="80"/>
              <w:jc w:val="both"/>
              <w:rPr>
                <w:rFonts w:ascii="Arial" w:hAnsi="Arial" w:cs="Arial"/>
              </w:rPr>
            </w:pPr>
            <w:r>
              <w:rPr>
                <w:rFonts w:ascii="Arial" w:hAnsi="Arial" w:cs="Arial"/>
              </w:rPr>
              <w:t>4.6.19</w:t>
            </w:r>
          </w:p>
        </w:tc>
        <w:tc>
          <w:tcPr>
            <w:tcW w:w="2105" w:type="dxa"/>
          </w:tcPr>
          <w:p w:rsidR="00C93D67" w:rsidRPr="00EE066E" w:rsidRDefault="00DA53CD" w:rsidP="005865F3">
            <w:pPr>
              <w:spacing w:before="80" w:after="80"/>
              <w:jc w:val="both"/>
              <w:rPr>
                <w:rFonts w:ascii="Arial" w:hAnsi="Arial" w:cs="Arial"/>
              </w:rPr>
            </w:pPr>
            <w:r w:rsidRPr="00EE066E">
              <w:rPr>
                <w:rFonts w:ascii="Arial" w:hAnsi="Arial" w:cs="Arial"/>
              </w:rPr>
              <w:t>T. Bahra</w:t>
            </w:r>
          </w:p>
        </w:tc>
        <w:tc>
          <w:tcPr>
            <w:tcW w:w="1005" w:type="dxa"/>
          </w:tcPr>
          <w:p w:rsidR="00C93D67" w:rsidRPr="00EE066E" w:rsidRDefault="00DA53CD" w:rsidP="005865F3">
            <w:pPr>
              <w:spacing w:before="80" w:after="80"/>
              <w:jc w:val="both"/>
              <w:rPr>
                <w:rFonts w:ascii="Arial" w:hAnsi="Arial" w:cs="Arial"/>
              </w:rPr>
            </w:pPr>
            <w:r w:rsidRPr="00EE066E">
              <w:rPr>
                <w:rFonts w:ascii="Arial" w:hAnsi="Arial" w:cs="Arial"/>
              </w:rPr>
              <w:t>Draft</w:t>
            </w:r>
          </w:p>
        </w:tc>
        <w:tc>
          <w:tcPr>
            <w:tcW w:w="5245" w:type="dxa"/>
          </w:tcPr>
          <w:p w:rsidR="00C93D67" w:rsidRPr="00EE066E" w:rsidRDefault="00C93D67" w:rsidP="005865F3">
            <w:pPr>
              <w:spacing w:before="80" w:after="80"/>
              <w:jc w:val="both"/>
              <w:rPr>
                <w:rFonts w:ascii="Arial" w:hAnsi="Arial" w:cs="Arial"/>
              </w:rPr>
            </w:pPr>
            <w:r w:rsidRPr="00EE066E">
              <w:rPr>
                <w:rFonts w:ascii="Arial" w:hAnsi="Arial" w:cs="Arial"/>
              </w:rPr>
              <w:t>Out for consultation</w:t>
            </w:r>
          </w:p>
        </w:tc>
      </w:tr>
      <w:tr w:rsidR="008B06DD" w:rsidRPr="00DC4829" w:rsidTr="00A80233">
        <w:tc>
          <w:tcPr>
            <w:tcW w:w="1096" w:type="dxa"/>
          </w:tcPr>
          <w:p w:rsidR="008B06DD" w:rsidRPr="00EE066E" w:rsidRDefault="008B06DD" w:rsidP="005865F3">
            <w:pPr>
              <w:spacing w:before="80" w:after="80"/>
              <w:jc w:val="both"/>
              <w:rPr>
                <w:rFonts w:ascii="Arial" w:hAnsi="Arial" w:cs="Arial"/>
              </w:rPr>
            </w:pPr>
            <w:r>
              <w:rPr>
                <w:rFonts w:ascii="Arial" w:hAnsi="Arial" w:cs="Arial"/>
              </w:rPr>
              <w:t>v.2</w:t>
            </w:r>
          </w:p>
        </w:tc>
        <w:tc>
          <w:tcPr>
            <w:tcW w:w="1147" w:type="dxa"/>
          </w:tcPr>
          <w:p w:rsidR="008B06DD" w:rsidRDefault="008B06DD" w:rsidP="005865F3">
            <w:pPr>
              <w:spacing w:before="80" w:after="80"/>
              <w:jc w:val="both"/>
              <w:rPr>
                <w:rFonts w:ascii="Arial" w:hAnsi="Arial" w:cs="Arial"/>
              </w:rPr>
            </w:pPr>
            <w:r>
              <w:rPr>
                <w:rFonts w:ascii="Arial" w:hAnsi="Arial" w:cs="Arial"/>
              </w:rPr>
              <w:t>10.6.19</w:t>
            </w:r>
          </w:p>
        </w:tc>
        <w:tc>
          <w:tcPr>
            <w:tcW w:w="2105" w:type="dxa"/>
          </w:tcPr>
          <w:p w:rsidR="008B06DD" w:rsidRPr="00EE066E" w:rsidRDefault="008B06DD" w:rsidP="005865F3">
            <w:pPr>
              <w:spacing w:before="80" w:after="80"/>
              <w:jc w:val="both"/>
              <w:rPr>
                <w:rFonts w:ascii="Arial" w:hAnsi="Arial" w:cs="Arial"/>
              </w:rPr>
            </w:pPr>
            <w:r>
              <w:rPr>
                <w:rFonts w:ascii="Arial" w:hAnsi="Arial" w:cs="Arial"/>
              </w:rPr>
              <w:t>T. Bahra</w:t>
            </w:r>
          </w:p>
        </w:tc>
        <w:tc>
          <w:tcPr>
            <w:tcW w:w="1005" w:type="dxa"/>
          </w:tcPr>
          <w:p w:rsidR="008B06DD" w:rsidRPr="00EE066E" w:rsidRDefault="008B06DD" w:rsidP="005865F3">
            <w:pPr>
              <w:spacing w:before="80" w:after="80"/>
              <w:jc w:val="both"/>
              <w:rPr>
                <w:rFonts w:ascii="Arial" w:hAnsi="Arial" w:cs="Arial"/>
              </w:rPr>
            </w:pPr>
            <w:r>
              <w:rPr>
                <w:rFonts w:ascii="Arial" w:hAnsi="Arial" w:cs="Arial"/>
              </w:rPr>
              <w:t>Draft</w:t>
            </w:r>
          </w:p>
        </w:tc>
        <w:tc>
          <w:tcPr>
            <w:tcW w:w="5245" w:type="dxa"/>
          </w:tcPr>
          <w:p w:rsidR="008B06DD" w:rsidRDefault="008B06DD" w:rsidP="005865F3">
            <w:pPr>
              <w:spacing w:before="80" w:after="80"/>
              <w:jc w:val="both"/>
              <w:rPr>
                <w:rFonts w:ascii="Arial" w:hAnsi="Arial" w:cs="Arial"/>
              </w:rPr>
            </w:pPr>
            <w:r>
              <w:rPr>
                <w:rFonts w:ascii="Arial" w:hAnsi="Arial" w:cs="Arial"/>
              </w:rPr>
              <w:t>Comments incorporated.</w:t>
            </w:r>
          </w:p>
          <w:p w:rsidR="008B06DD" w:rsidRPr="00EE066E" w:rsidRDefault="008B06DD" w:rsidP="005865F3">
            <w:pPr>
              <w:spacing w:before="80" w:after="80"/>
              <w:jc w:val="both"/>
              <w:rPr>
                <w:rFonts w:ascii="Arial" w:hAnsi="Arial" w:cs="Arial"/>
              </w:rPr>
            </w:pPr>
            <w:r>
              <w:rPr>
                <w:rFonts w:ascii="Arial" w:hAnsi="Arial" w:cs="Arial"/>
              </w:rPr>
              <w:t>Change of status for AS from BLUE to GREEN incorporated.</w:t>
            </w:r>
          </w:p>
        </w:tc>
      </w:tr>
      <w:tr w:rsidR="00103E7B" w:rsidRPr="00DC4829" w:rsidTr="00A80233">
        <w:tc>
          <w:tcPr>
            <w:tcW w:w="1096" w:type="dxa"/>
          </w:tcPr>
          <w:p w:rsidR="00103E7B" w:rsidRDefault="00103E7B" w:rsidP="005865F3">
            <w:pPr>
              <w:spacing w:before="80" w:after="80"/>
              <w:jc w:val="both"/>
              <w:rPr>
                <w:rFonts w:ascii="Arial" w:hAnsi="Arial" w:cs="Arial"/>
              </w:rPr>
            </w:pPr>
            <w:r>
              <w:rPr>
                <w:rFonts w:ascii="Arial" w:hAnsi="Arial" w:cs="Arial"/>
              </w:rPr>
              <w:t>v.3</w:t>
            </w:r>
          </w:p>
        </w:tc>
        <w:tc>
          <w:tcPr>
            <w:tcW w:w="1147" w:type="dxa"/>
          </w:tcPr>
          <w:p w:rsidR="00103E7B" w:rsidRDefault="00103E7B" w:rsidP="005865F3">
            <w:pPr>
              <w:spacing w:before="80" w:after="80"/>
              <w:jc w:val="both"/>
              <w:rPr>
                <w:rFonts w:ascii="Arial" w:hAnsi="Arial" w:cs="Arial"/>
              </w:rPr>
            </w:pPr>
            <w:r>
              <w:rPr>
                <w:rFonts w:ascii="Arial" w:hAnsi="Arial" w:cs="Arial"/>
              </w:rPr>
              <w:t>25.6.10</w:t>
            </w:r>
          </w:p>
        </w:tc>
        <w:tc>
          <w:tcPr>
            <w:tcW w:w="2105" w:type="dxa"/>
          </w:tcPr>
          <w:p w:rsidR="00103E7B" w:rsidRDefault="00103E7B" w:rsidP="005865F3">
            <w:pPr>
              <w:spacing w:before="80" w:after="80"/>
              <w:jc w:val="both"/>
              <w:rPr>
                <w:rFonts w:ascii="Arial" w:hAnsi="Arial" w:cs="Arial"/>
              </w:rPr>
            </w:pPr>
            <w:r>
              <w:rPr>
                <w:rFonts w:ascii="Arial" w:hAnsi="Arial" w:cs="Arial"/>
              </w:rPr>
              <w:t>S. Watkin</w:t>
            </w:r>
          </w:p>
        </w:tc>
        <w:tc>
          <w:tcPr>
            <w:tcW w:w="1005" w:type="dxa"/>
          </w:tcPr>
          <w:p w:rsidR="00103E7B" w:rsidRDefault="00103E7B" w:rsidP="005865F3">
            <w:pPr>
              <w:spacing w:before="80" w:after="80"/>
              <w:jc w:val="both"/>
              <w:rPr>
                <w:rFonts w:ascii="Arial" w:hAnsi="Arial" w:cs="Arial"/>
              </w:rPr>
            </w:pPr>
            <w:r>
              <w:rPr>
                <w:rFonts w:ascii="Arial" w:hAnsi="Arial" w:cs="Arial"/>
              </w:rPr>
              <w:t>Final</w:t>
            </w:r>
          </w:p>
        </w:tc>
        <w:tc>
          <w:tcPr>
            <w:tcW w:w="5245" w:type="dxa"/>
          </w:tcPr>
          <w:p w:rsidR="00103E7B" w:rsidRDefault="00103E7B" w:rsidP="005865F3">
            <w:pPr>
              <w:spacing w:before="80" w:after="80"/>
              <w:jc w:val="both"/>
              <w:rPr>
                <w:rFonts w:ascii="Arial" w:hAnsi="Arial" w:cs="Arial"/>
              </w:rPr>
            </w:pPr>
            <w:r>
              <w:rPr>
                <w:rFonts w:ascii="Arial" w:hAnsi="Arial" w:cs="Arial"/>
              </w:rPr>
              <w:t>Comments from consultation added</w:t>
            </w:r>
          </w:p>
        </w:tc>
      </w:tr>
    </w:tbl>
    <w:p w:rsidR="00C93D67" w:rsidRDefault="00C93D67" w:rsidP="00C93D67">
      <w:pPr>
        <w:spacing w:after="0" w:line="240" w:lineRule="auto"/>
        <w:rPr>
          <w:rFonts w:ascii="Arial" w:hAnsi="Arial" w:cs="Arial"/>
          <w:sz w:val="16"/>
          <w:szCs w:val="16"/>
        </w:rPr>
      </w:pPr>
    </w:p>
    <w:p w:rsidR="00103E7B" w:rsidRDefault="00103E7B" w:rsidP="00C93D67">
      <w:pPr>
        <w:spacing w:after="0" w:line="240" w:lineRule="auto"/>
        <w:rPr>
          <w:rFonts w:ascii="Arial" w:hAnsi="Arial" w:cs="Arial"/>
          <w:sz w:val="16"/>
          <w:szCs w:val="16"/>
        </w:rPr>
      </w:pPr>
    </w:p>
    <w:p w:rsidR="00103E7B" w:rsidRDefault="00103E7B">
      <w:pPr>
        <w:rPr>
          <w:rFonts w:ascii="Arial" w:hAnsi="Arial" w:cs="Arial"/>
          <w:sz w:val="16"/>
          <w:szCs w:val="16"/>
        </w:rPr>
      </w:pPr>
      <w:r>
        <w:rPr>
          <w:rFonts w:ascii="Arial" w:hAnsi="Arial" w:cs="Arial"/>
          <w:sz w:val="16"/>
          <w:szCs w:val="16"/>
        </w:rPr>
        <w:br w:type="page"/>
      </w:r>
    </w:p>
    <w:p w:rsidR="00103E7B" w:rsidRPr="00103E7B" w:rsidRDefault="00103E7B" w:rsidP="00103E7B">
      <w:pPr>
        <w:spacing w:after="0" w:line="240" w:lineRule="auto"/>
        <w:rPr>
          <w:rFonts w:ascii="Arial" w:eastAsia="Calibri" w:hAnsi="Arial" w:cs="Arial"/>
          <w:b/>
          <w:lang w:val="en-US" w:eastAsia="en-US"/>
        </w:rPr>
      </w:pPr>
      <w:r w:rsidRPr="00103E7B">
        <w:rPr>
          <w:rFonts w:ascii="Arial" w:eastAsia="Calibri" w:hAnsi="Arial" w:cs="Arial"/>
          <w:b/>
          <w:lang w:val="en-US" w:eastAsia="en-US"/>
        </w:rPr>
        <w:lastRenderedPageBreak/>
        <w:t>Comments on proposal to change traffic light status of celecoxib and etoricoxib</w:t>
      </w: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lang w:val="en-US" w:eastAsia="en-US"/>
        </w:rPr>
      </w:pPr>
      <w:r w:rsidRPr="00103E7B">
        <w:rPr>
          <w:rFonts w:ascii="Arial" w:eastAsia="Calibri" w:hAnsi="Arial" w:cs="Arial"/>
          <w:b/>
          <w:lang w:val="en-US" w:eastAsia="en-US"/>
        </w:rPr>
        <w:t>Supportive</w:t>
      </w:r>
    </w:p>
    <w:p w:rsidR="00103E7B" w:rsidRPr="00103E7B" w:rsidRDefault="00103E7B" w:rsidP="00103E7B">
      <w:pPr>
        <w:spacing w:after="0" w:line="240" w:lineRule="auto"/>
        <w:rPr>
          <w:rFonts w:ascii="Arial" w:eastAsia="Calibri" w:hAnsi="Arial" w:cs="Arial"/>
          <w:b/>
          <w:lang w:val="en-US" w:eastAsia="en-US"/>
        </w:rPr>
      </w:pPr>
    </w:p>
    <w:p w:rsidR="00103E7B" w:rsidRPr="00103E7B" w:rsidRDefault="00103E7B" w:rsidP="00103E7B">
      <w:pPr>
        <w:numPr>
          <w:ilvl w:val="0"/>
          <w:numId w:val="32"/>
        </w:numPr>
        <w:spacing w:after="0" w:line="240" w:lineRule="auto"/>
        <w:contextualSpacing/>
        <w:rPr>
          <w:rFonts w:ascii="Arial" w:eastAsia="Calibri" w:hAnsi="Arial" w:cs="Arial"/>
          <w:lang w:val="en-US" w:eastAsia="en-US"/>
        </w:rPr>
      </w:pPr>
      <w:r w:rsidRPr="00103E7B">
        <w:rPr>
          <w:rFonts w:ascii="Arial" w:eastAsia="Calibri" w:hAnsi="Arial" w:cs="Arial"/>
          <w:lang w:val="en-US" w:eastAsia="en-US"/>
        </w:rPr>
        <w:t>This seems good</w:t>
      </w:r>
    </w:p>
    <w:p w:rsidR="00103E7B" w:rsidRPr="00103E7B" w:rsidRDefault="00103E7B" w:rsidP="00103E7B">
      <w:pPr>
        <w:spacing w:after="0" w:line="240" w:lineRule="auto"/>
        <w:ind w:left="360"/>
        <w:rPr>
          <w:rFonts w:ascii="Arial" w:eastAsia="Calibri" w:hAnsi="Arial" w:cs="Arial"/>
          <w:lang w:val="en-US" w:eastAsia="en-US"/>
        </w:rPr>
      </w:pPr>
      <w:r w:rsidRPr="00103E7B">
        <w:rPr>
          <w:rFonts w:ascii="Arial" w:eastAsia="Calibri" w:hAnsi="Arial" w:cs="Arial"/>
          <w:lang w:val="en-US" w:eastAsia="en-US"/>
        </w:rPr>
        <w:t>Will increase mx options and come into line with NICE</w:t>
      </w:r>
    </w:p>
    <w:p w:rsidR="00103E7B" w:rsidRPr="00103E7B" w:rsidRDefault="00103E7B" w:rsidP="00103E7B">
      <w:pPr>
        <w:spacing w:after="0" w:line="240" w:lineRule="auto"/>
        <w:ind w:left="360"/>
        <w:rPr>
          <w:rFonts w:ascii="Arial" w:eastAsia="Calibri" w:hAnsi="Arial" w:cs="Arial"/>
          <w:lang w:val="en-US" w:eastAsia="en-US"/>
        </w:rPr>
      </w:pPr>
      <w:r w:rsidRPr="00103E7B">
        <w:rPr>
          <w:rFonts w:ascii="Arial" w:eastAsia="Calibri" w:hAnsi="Arial" w:cs="Arial"/>
          <w:lang w:val="en-US" w:eastAsia="en-US"/>
        </w:rPr>
        <w:t>I thought we did not use Diclofenac but it is included here has this policy changed?</w:t>
      </w:r>
    </w:p>
    <w:p w:rsidR="00103E7B" w:rsidRPr="00103E7B" w:rsidRDefault="00103E7B" w:rsidP="00103E7B">
      <w:pPr>
        <w:spacing w:after="0" w:line="240" w:lineRule="auto"/>
        <w:ind w:left="360"/>
        <w:rPr>
          <w:rFonts w:ascii="Arial" w:eastAsia="Calibri" w:hAnsi="Arial" w:cs="Arial"/>
          <w:lang w:val="en-US" w:eastAsia="en-US"/>
        </w:rPr>
      </w:pPr>
      <w:r w:rsidRPr="00103E7B">
        <w:rPr>
          <w:rFonts w:ascii="Arial" w:eastAsia="Calibri" w:hAnsi="Arial" w:cs="Arial"/>
          <w:lang w:val="en-US" w:eastAsia="en-US"/>
        </w:rPr>
        <w:t>Potentially this cd make quite a difference possibly even lower referral rates</w:t>
      </w:r>
    </w:p>
    <w:p w:rsidR="00103E7B" w:rsidRPr="00103E7B" w:rsidRDefault="00103E7B" w:rsidP="00103E7B">
      <w:pPr>
        <w:spacing w:after="0" w:line="240" w:lineRule="auto"/>
        <w:ind w:left="360"/>
        <w:rPr>
          <w:rFonts w:ascii="Arial" w:eastAsia="Calibri" w:hAnsi="Arial" w:cs="Arial"/>
          <w:lang w:val="en-US" w:eastAsia="en-US"/>
        </w:rPr>
      </w:pPr>
      <w:r w:rsidRPr="00103E7B">
        <w:rPr>
          <w:rFonts w:ascii="Arial" w:eastAsia="Calibri" w:hAnsi="Arial" w:cs="Arial"/>
          <w:lang w:val="en-US" w:eastAsia="en-US"/>
        </w:rPr>
        <w:t>Really appreciate your involving us in the discussion too</w:t>
      </w:r>
    </w:p>
    <w:p w:rsidR="00103E7B" w:rsidRPr="00103E7B" w:rsidRDefault="00103E7B" w:rsidP="00103E7B">
      <w:pPr>
        <w:spacing w:after="0" w:line="240" w:lineRule="auto"/>
        <w:ind w:left="360"/>
        <w:rPr>
          <w:rFonts w:ascii="Arial" w:eastAsia="Calibri" w:hAnsi="Arial" w:cs="Arial"/>
          <w:b/>
          <w:i/>
          <w:lang w:val="en-US" w:eastAsia="en-US"/>
        </w:rPr>
      </w:pPr>
      <w:r w:rsidRPr="00103E7B">
        <w:rPr>
          <w:rFonts w:ascii="Arial" w:eastAsia="Calibri" w:hAnsi="Arial" w:cs="Arial"/>
          <w:b/>
          <w:i/>
          <w:lang w:val="en-US" w:eastAsia="en-US"/>
        </w:rPr>
        <w:t>Rose Block – Ashford and St Peter’s Hospitals</w:t>
      </w:r>
    </w:p>
    <w:p w:rsidR="00103E7B" w:rsidRPr="00103E7B" w:rsidRDefault="00103E7B" w:rsidP="00103E7B">
      <w:pPr>
        <w:shd w:val="clear" w:color="auto" w:fill="D9D9D9"/>
        <w:spacing w:after="0" w:line="240" w:lineRule="auto"/>
        <w:rPr>
          <w:rFonts w:ascii="Arial" w:eastAsia="Calibri" w:hAnsi="Arial" w:cs="Arial"/>
          <w:lang w:val="en-US" w:eastAsia="en-US"/>
        </w:rPr>
      </w:pPr>
      <w:r w:rsidRPr="00103E7B">
        <w:rPr>
          <w:rFonts w:ascii="Arial" w:eastAsia="Calibri" w:hAnsi="Arial" w:cs="Arial"/>
          <w:lang w:val="en-US" w:eastAsia="en-US"/>
        </w:rPr>
        <w:t>Diclofenac is outside the scope of this proposal.  Mention is made in the document only as it is appears in NICE guidance for rheumatoid arthritis.  There is no policy change</w:t>
      </w:r>
    </w:p>
    <w:p w:rsidR="00103E7B" w:rsidRPr="00103E7B" w:rsidRDefault="00103E7B" w:rsidP="00103E7B">
      <w:pPr>
        <w:spacing w:after="0" w:line="240" w:lineRule="auto"/>
        <w:rPr>
          <w:rFonts w:ascii="Arial" w:eastAsia="Calibri" w:hAnsi="Arial" w:cs="Arial"/>
          <w:lang w:eastAsia="en-US"/>
        </w:rPr>
      </w:pPr>
    </w:p>
    <w:p w:rsidR="00103E7B" w:rsidRPr="00103E7B" w:rsidRDefault="00103E7B" w:rsidP="00103E7B">
      <w:pPr>
        <w:numPr>
          <w:ilvl w:val="0"/>
          <w:numId w:val="32"/>
        </w:numPr>
        <w:spacing w:after="0" w:line="240" w:lineRule="auto"/>
        <w:contextualSpacing/>
        <w:rPr>
          <w:rFonts w:ascii="Arial" w:eastAsia="Calibri" w:hAnsi="Arial" w:cs="Arial"/>
          <w:lang w:eastAsia="en-US"/>
        </w:rPr>
      </w:pPr>
      <w:r w:rsidRPr="00103E7B">
        <w:rPr>
          <w:rFonts w:ascii="Arial" w:eastAsia="Calibri" w:hAnsi="Arial" w:cs="Arial"/>
          <w:lang w:eastAsia="en-US"/>
        </w:rPr>
        <w:t>I would support taking them off "black" for these indications. I have not seen any research showing  improved outcome with etoricoxib vs celecoxib so generic celecoxib make sense as the first choice.</w:t>
      </w:r>
    </w:p>
    <w:p w:rsidR="00103E7B" w:rsidRPr="00103E7B" w:rsidRDefault="00103E7B" w:rsidP="00103E7B">
      <w:pPr>
        <w:spacing w:after="0" w:line="240" w:lineRule="auto"/>
        <w:ind w:firstLine="360"/>
        <w:rPr>
          <w:rFonts w:ascii="Arial" w:eastAsia="Calibri" w:hAnsi="Arial" w:cs="Arial"/>
          <w:b/>
          <w:i/>
          <w:lang w:val="en-US" w:eastAsia="en-US"/>
        </w:rPr>
      </w:pPr>
      <w:r w:rsidRPr="00103E7B">
        <w:rPr>
          <w:rFonts w:ascii="Arial" w:eastAsia="Calibri" w:hAnsi="Arial" w:cs="Arial"/>
          <w:b/>
          <w:i/>
          <w:lang w:val="en-US" w:eastAsia="en-US"/>
        </w:rPr>
        <w:t>Andy King – Ashford and St Peter’s Hospital</w:t>
      </w: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numPr>
          <w:ilvl w:val="0"/>
          <w:numId w:val="32"/>
        </w:numPr>
        <w:spacing w:after="0" w:line="240" w:lineRule="auto"/>
        <w:contextualSpacing/>
        <w:rPr>
          <w:rFonts w:ascii="Arial" w:eastAsia="Calibri" w:hAnsi="Arial" w:cs="Arial"/>
          <w:lang w:eastAsia="en-US"/>
        </w:rPr>
      </w:pPr>
      <w:r w:rsidRPr="00103E7B">
        <w:rPr>
          <w:rFonts w:ascii="Arial" w:eastAsia="Calibri" w:hAnsi="Arial" w:cs="Arial"/>
          <w:lang w:eastAsia="en-US"/>
        </w:rPr>
        <w:t>The proposed changes would be very helpful</w:t>
      </w:r>
    </w:p>
    <w:p w:rsidR="00103E7B" w:rsidRPr="00103E7B" w:rsidRDefault="00103E7B" w:rsidP="00103E7B">
      <w:pPr>
        <w:spacing w:after="0" w:line="240" w:lineRule="auto"/>
        <w:ind w:firstLine="360"/>
        <w:rPr>
          <w:rFonts w:ascii="Arial" w:eastAsia="Calibri" w:hAnsi="Arial" w:cs="Arial"/>
          <w:b/>
          <w:i/>
          <w:lang w:val="en-US" w:eastAsia="en-US"/>
        </w:rPr>
      </w:pPr>
      <w:r w:rsidRPr="00103E7B">
        <w:rPr>
          <w:rFonts w:ascii="Arial" w:eastAsia="Calibri" w:hAnsi="Arial" w:cs="Arial"/>
          <w:b/>
          <w:i/>
          <w:lang w:val="en-US" w:eastAsia="en-US"/>
        </w:rPr>
        <w:t>Sian Griffith – Surrey and Sussex Healthcare</w:t>
      </w: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numPr>
          <w:ilvl w:val="0"/>
          <w:numId w:val="32"/>
        </w:numPr>
        <w:spacing w:after="0" w:line="240" w:lineRule="auto"/>
        <w:contextualSpacing/>
        <w:rPr>
          <w:rFonts w:ascii="Arial" w:eastAsia="Calibri" w:hAnsi="Arial" w:cs="Arial"/>
          <w:lang w:val="en-US" w:eastAsia="en-US"/>
        </w:rPr>
      </w:pPr>
      <w:r w:rsidRPr="00103E7B">
        <w:rPr>
          <w:rFonts w:ascii="Arial" w:eastAsia="Calibri" w:hAnsi="Arial" w:cs="Arial"/>
          <w:lang w:val="en-US" w:eastAsia="en-US"/>
        </w:rPr>
        <w:t>Sounds a sensible change</w:t>
      </w:r>
    </w:p>
    <w:p w:rsidR="00103E7B" w:rsidRPr="00103E7B" w:rsidRDefault="00103E7B" w:rsidP="00103E7B">
      <w:pPr>
        <w:spacing w:after="0" w:line="240" w:lineRule="auto"/>
        <w:ind w:firstLine="360"/>
        <w:rPr>
          <w:rFonts w:ascii="Arial" w:eastAsia="Calibri" w:hAnsi="Arial" w:cs="Arial"/>
          <w:b/>
          <w:i/>
          <w:lang w:val="en-US" w:eastAsia="en-US"/>
        </w:rPr>
      </w:pPr>
      <w:r w:rsidRPr="00103E7B">
        <w:rPr>
          <w:rFonts w:ascii="Arial" w:eastAsia="Calibri" w:hAnsi="Arial" w:cs="Arial"/>
          <w:b/>
          <w:i/>
          <w:lang w:val="en-US" w:eastAsia="en-US"/>
        </w:rPr>
        <w:t>Rod Hughes – Ashford and St Peter’s Hospital</w:t>
      </w: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numPr>
          <w:ilvl w:val="0"/>
          <w:numId w:val="32"/>
        </w:numPr>
        <w:spacing w:after="0" w:line="240" w:lineRule="auto"/>
        <w:contextualSpacing/>
        <w:rPr>
          <w:rFonts w:ascii="Arial" w:eastAsia="Calibri" w:hAnsi="Arial" w:cs="Arial"/>
          <w:lang w:eastAsia="en-US"/>
        </w:rPr>
      </w:pPr>
      <w:r w:rsidRPr="00103E7B">
        <w:rPr>
          <w:rFonts w:ascii="Arial" w:eastAsia="Calibri" w:hAnsi="Arial" w:cs="Arial"/>
          <w:lang w:eastAsia="en-US"/>
        </w:rPr>
        <w:t>Sounds sensible</w:t>
      </w:r>
    </w:p>
    <w:p w:rsidR="00103E7B" w:rsidRPr="00103E7B" w:rsidRDefault="00103E7B" w:rsidP="00103E7B">
      <w:pPr>
        <w:spacing w:after="0" w:line="240" w:lineRule="auto"/>
        <w:ind w:firstLine="360"/>
        <w:rPr>
          <w:rFonts w:ascii="Arial" w:eastAsia="Calibri" w:hAnsi="Arial" w:cs="Arial"/>
          <w:b/>
          <w:i/>
          <w:lang w:val="en-US" w:eastAsia="en-US"/>
        </w:rPr>
      </w:pPr>
      <w:r w:rsidRPr="00103E7B">
        <w:rPr>
          <w:rFonts w:ascii="Arial" w:eastAsia="Calibri" w:hAnsi="Arial" w:cs="Arial"/>
          <w:b/>
          <w:i/>
          <w:lang w:val="en-US" w:eastAsia="en-US"/>
        </w:rPr>
        <w:t>Mark Lloyd – Frimley Park Hospital</w:t>
      </w: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lang w:val="en-US" w:eastAsia="en-US"/>
        </w:rPr>
      </w:pPr>
      <w:r w:rsidRPr="00103E7B">
        <w:rPr>
          <w:rFonts w:ascii="Arial" w:eastAsia="Calibri" w:hAnsi="Arial" w:cs="Arial"/>
          <w:b/>
          <w:lang w:val="en-US" w:eastAsia="en-US"/>
        </w:rPr>
        <w:t>For consideration</w:t>
      </w:r>
    </w:p>
    <w:p w:rsidR="00103E7B" w:rsidRPr="00103E7B" w:rsidRDefault="00103E7B" w:rsidP="00103E7B">
      <w:pPr>
        <w:spacing w:after="0" w:line="240" w:lineRule="auto"/>
        <w:rPr>
          <w:rFonts w:ascii="Arial" w:eastAsia="Calibri" w:hAnsi="Arial" w:cs="Arial"/>
          <w:lang w:eastAsia="en-US"/>
        </w:rPr>
      </w:pPr>
    </w:p>
    <w:p w:rsidR="00103E7B" w:rsidRPr="00103E7B" w:rsidRDefault="00103E7B" w:rsidP="00103E7B">
      <w:pPr>
        <w:numPr>
          <w:ilvl w:val="0"/>
          <w:numId w:val="33"/>
        </w:numPr>
        <w:spacing w:after="0" w:line="240" w:lineRule="auto"/>
        <w:contextualSpacing/>
        <w:rPr>
          <w:rFonts w:ascii="Arial" w:eastAsia="Calibri" w:hAnsi="Arial" w:cs="Arial"/>
          <w:lang w:eastAsia="en-US"/>
        </w:rPr>
      </w:pPr>
      <w:r w:rsidRPr="00103E7B">
        <w:rPr>
          <w:rFonts w:ascii="Arial" w:eastAsia="Calibri" w:hAnsi="Arial" w:cs="Arial"/>
          <w:lang w:eastAsia="en-US"/>
        </w:rPr>
        <w:t>I would like to see etoricoxib kept as blue status, and only celecoxib green, because of the safety issues regarding raising blood pressure and the burden for primary care of needing to monitor BP regularly.</w:t>
      </w:r>
    </w:p>
    <w:p w:rsidR="00103E7B" w:rsidRPr="00103E7B" w:rsidRDefault="00103E7B" w:rsidP="00103E7B">
      <w:pPr>
        <w:spacing w:after="0" w:line="240" w:lineRule="auto"/>
        <w:ind w:firstLine="360"/>
        <w:rPr>
          <w:rFonts w:ascii="Arial" w:eastAsia="Calibri" w:hAnsi="Arial" w:cs="Arial"/>
          <w:b/>
          <w:i/>
          <w:lang w:eastAsia="en-US"/>
        </w:rPr>
      </w:pPr>
      <w:r w:rsidRPr="00103E7B">
        <w:rPr>
          <w:rFonts w:ascii="Arial" w:eastAsia="Calibri" w:hAnsi="Arial" w:cs="Arial"/>
          <w:b/>
          <w:i/>
          <w:lang w:eastAsia="en-US"/>
        </w:rPr>
        <w:t>Helen Marlow – Surrey Downs CCG</w:t>
      </w:r>
    </w:p>
    <w:p w:rsidR="00103E7B" w:rsidRPr="00103E7B" w:rsidRDefault="00103E7B" w:rsidP="00103E7B">
      <w:pPr>
        <w:shd w:val="clear" w:color="auto" w:fill="D9D9D9"/>
        <w:spacing w:after="0" w:line="240" w:lineRule="auto"/>
        <w:rPr>
          <w:rFonts w:ascii="Arial" w:eastAsia="Calibri" w:hAnsi="Arial" w:cs="Arial"/>
          <w:lang w:val="en-US" w:eastAsia="en-US"/>
        </w:rPr>
      </w:pPr>
      <w:r w:rsidRPr="00103E7B">
        <w:rPr>
          <w:rFonts w:ascii="Arial" w:eastAsia="Calibri" w:hAnsi="Arial" w:cs="Arial"/>
          <w:lang w:val="en-US" w:eastAsia="en-US"/>
        </w:rPr>
        <w:t xml:space="preserve">Similar safety and monitoring requirements from SPC.  </w:t>
      </w:r>
    </w:p>
    <w:p w:rsidR="00103E7B" w:rsidRPr="00103E7B" w:rsidRDefault="00103E7B" w:rsidP="00103E7B">
      <w:pPr>
        <w:numPr>
          <w:ilvl w:val="0"/>
          <w:numId w:val="31"/>
        </w:numPr>
        <w:shd w:val="clear" w:color="auto" w:fill="D9D9D9"/>
        <w:spacing w:after="0" w:line="240" w:lineRule="auto"/>
        <w:contextualSpacing/>
        <w:rPr>
          <w:rFonts w:ascii="Arial" w:eastAsia="Calibri" w:hAnsi="Arial" w:cs="Arial"/>
          <w:lang w:val="en-US" w:eastAsia="en-US"/>
        </w:rPr>
      </w:pPr>
      <w:r w:rsidRPr="00103E7B">
        <w:rPr>
          <w:rFonts w:ascii="Arial" w:eastAsia="Calibri" w:hAnsi="Arial" w:cs="Arial"/>
          <w:lang w:val="en-US" w:eastAsia="en-US"/>
        </w:rPr>
        <w:t>Etoricoxib is contraindicated in uncontrolled hypertension</w:t>
      </w:r>
    </w:p>
    <w:p w:rsidR="00103E7B" w:rsidRPr="00103E7B" w:rsidRDefault="00103E7B" w:rsidP="00103E7B">
      <w:pPr>
        <w:numPr>
          <w:ilvl w:val="0"/>
          <w:numId w:val="31"/>
        </w:numPr>
        <w:shd w:val="clear" w:color="auto" w:fill="D9D9D9"/>
        <w:spacing w:after="0" w:line="240" w:lineRule="auto"/>
        <w:contextualSpacing/>
        <w:rPr>
          <w:rFonts w:ascii="Arial" w:eastAsia="Calibri" w:hAnsi="Arial" w:cs="Arial"/>
          <w:lang w:val="en-US" w:eastAsia="en-US"/>
        </w:rPr>
      </w:pPr>
      <w:r w:rsidRPr="00103E7B">
        <w:rPr>
          <w:rFonts w:ascii="Arial" w:eastAsia="Calibri" w:hAnsi="Arial" w:cs="Arial"/>
          <w:lang w:val="en-US" w:eastAsia="en-US"/>
        </w:rPr>
        <w:t>Both should only be used after careful consideration in patients with significant risk of cardiovascular events (e.g. hypertension) Initial monitoring for etoricoxib specified for blood pressure within two weeks then periodically</w:t>
      </w:r>
    </w:p>
    <w:p w:rsidR="00103E7B" w:rsidRPr="00103E7B" w:rsidRDefault="00103E7B" w:rsidP="00103E7B">
      <w:pPr>
        <w:numPr>
          <w:ilvl w:val="0"/>
          <w:numId w:val="31"/>
        </w:numPr>
        <w:shd w:val="clear" w:color="auto" w:fill="D9D9D9"/>
        <w:spacing w:after="0" w:line="240" w:lineRule="auto"/>
        <w:contextualSpacing/>
        <w:rPr>
          <w:rFonts w:ascii="Arial" w:eastAsia="Calibri" w:hAnsi="Arial" w:cs="Arial"/>
          <w:lang w:val="en-US" w:eastAsia="en-US"/>
        </w:rPr>
      </w:pPr>
      <w:r w:rsidRPr="00103E7B">
        <w:rPr>
          <w:rFonts w:ascii="Arial" w:eastAsia="Calibri" w:hAnsi="Arial" w:cs="Arial"/>
          <w:lang w:val="en-US" w:eastAsia="en-US"/>
        </w:rPr>
        <w:t>For celecoxib blood pressure should be monitored closely during initiation and throughout the course</w:t>
      </w:r>
    </w:p>
    <w:p w:rsidR="00103E7B" w:rsidRPr="00103E7B" w:rsidRDefault="00103E7B" w:rsidP="00103E7B">
      <w:pPr>
        <w:shd w:val="clear" w:color="auto" w:fill="D9D9D9"/>
        <w:spacing w:after="0" w:line="240" w:lineRule="auto"/>
        <w:rPr>
          <w:rFonts w:ascii="Arial" w:eastAsia="Calibri" w:hAnsi="Arial" w:cs="Arial"/>
          <w:lang w:val="en-US" w:eastAsia="en-US"/>
        </w:rPr>
      </w:pPr>
      <w:r w:rsidRPr="00103E7B">
        <w:rPr>
          <w:rFonts w:ascii="Arial" w:eastAsia="Calibri" w:hAnsi="Arial" w:cs="Arial"/>
          <w:lang w:val="en-US" w:eastAsia="en-US"/>
        </w:rPr>
        <w:t>There is no indication of monitoring frequency given for either drug after initiation phase</w:t>
      </w:r>
    </w:p>
    <w:p w:rsidR="00103E7B" w:rsidRPr="00103E7B" w:rsidRDefault="00103E7B" w:rsidP="00103E7B">
      <w:pPr>
        <w:spacing w:after="0" w:line="240" w:lineRule="auto"/>
        <w:rPr>
          <w:rFonts w:ascii="Arial" w:eastAsia="Calibri" w:hAnsi="Arial" w:cs="Arial"/>
          <w:lang w:val="en-US" w:eastAsia="en-US"/>
        </w:rPr>
      </w:pPr>
    </w:p>
    <w:p w:rsidR="00103E7B" w:rsidRPr="00103E7B" w:rsidRDefault="00103E7B" w:rsidP="00103E7B">
      <w:pPr>
        <w:numPr>
          <w:ilvl w:val="0"/>
          <w:numId w:val="33"/>
        </w:numPr>
        <w:spacing w:after="0" w:line="240" w:lineRule="auto"/>
        <w:contextualSpacing/>
        <w:rPr>
          <w:rFonts w:ascii="Arial" w:eastAsia="Calibri" w:hAnsi="Arial" w:cs="Arial"/>
          <w:lang w:eastAsia="en-US"/>
        </w:rPr>
      </w:pPr>
      <w:r w:rsidRPr="00103E7B">
        <w:rPr>
          <w:rFonts w:ascii="Arial" w:eastAsia="Calibri" w:hAnsi="Arial" w:cs="Arial"/>
          <w:lang w:eastAsia="en-US"/>
        </w:rPr>
        <w:t>I can see that on a cost basis the COX2 are no longer inhibitory and there are a number of guidelines that include their use with the specific addition of their use as an option for GPs in the new QOF Quality Improvement work to reduce GI bleed.</w:t>
      </w:r>
    </w:p>
    <w:p w:rsidR="00103E7B" w:rsidRPr="00103E7B" w:rsidRDefault="00103E7B" w:rsidP="00103E7B">
      <w:pPr>
        <w:spacing w:after="0" w:line="240" w:lineRule="auto"/>
        <w:ind w:left="360"/>
        <w:rPr>
          <w:rFonts w:ascii="Arial" w:eastAsia="Calibri" w:hAnsi="Arial" w:cs="Arial"/>
          <w:lang w:eastAsia="en-US"/>
        </w:rPr>
      </w:pPr>
      <w:r w:rsidRPr="00103E7B">
        <w:rPr>
          <w:rFonts w:ascii="Arial" w:eastAsia="Calibri" w:hAnsi="Arial" w:cs="Arial"/>
          <w:lang w:eastAsia="en-US"/>
        </w:rPr>
        <w:t>I agree that they can be green status as you suggest with celecoxib second line [after NSIAD] but bearing in mind the fact that I am sure we do not monitor BP in the cases of other NSAID such as Naproxen and Ibuprofen and the conclusion is that they are all of similar efficacy then should we consider promoting Ibuprofen and Naproxen as first line NSAID subject to another perceived increased risks of GI bleeding?</w:t>
      </w:r>
    </w:p>
    <w:p w:rsidR="00103E7B" w:rsidRPr="00103E7B" w:rsidRDefault="00103E7B" w:rsidP="00103E7B">
      <w:pPr>
        <w:spacing w:after="0" w:line="240" w:lineRule="auto"/>
        <w:ind w:left="360"/>
        <w:rPr>
          <w:rFonts w:ascii="Arial" w:eastAsia="Calibri" w:hAnsi="Arial" w:cs="Arial"/>
          <w:lang w:eastAsia="en-US"/>
        </w:rPr>
      </w:pPr>
      <w:r w:rsidRPr="00103E7B">
        <w:rPr>
          <w:rFonts w:ascii="Arial" w:eastAsia="Calibri" w:hAnsi="Arial" w:cs="Arial"/>
          <w:lang w:eastAsia="en-US"/>
        </w:rPr>
        <w:t>Regarding GI bleed would we still recommend Ibup/naproxen plus PPI over Celecoxib +PPI?</w:t>
      </w:r>
    </w:p>
    <w:p w:rsidR="00103E7B" w:rsidRPr="00103E7B" w:rsidRDefault="00103E7B" w:rsidP="00103E7B">
      <w:pPr>
        <w:spacing w:after="0" w:line="240" w:lineRule="auto"/>
        <w:ind w:left="360"/>
        <w:rPr>
          <w:rFonts w:ascii="Arial" w:eastAsia="Calibri" w:hAnsi="Arial" w:cs="Arial"/>
          <w:lang w:eastAsia="en-US"/>
        </w:rPr>
      </w:pPr>
      <w:r w:rsidRPr="00103E7B">
        <w:rPr>
          <w:rFonts w:ascii="Arial" w:eastAsia="Calibri" w:hAnsi="Arial" w:cs="Arial"/>
          <w:lang w:eastAsia="en-US"/>
        </w:rPr>
        <w:t>Secondly how does the relative CVS risk compare if we were to look at all the options here?</w:t>
      </w:r>
    </w:p>
    <w:p w:rsidR="00103E7B" w:rsidRPr="00103E7B" w:rsidRDefault="00103E7B" w:rsidP="00103E7B">
      <w:pPr>
        <w:spacing w:after="0" w:line="240" w:lineRule="auto"/>
        <w:ind w:left="360"/>
        <w:rPr>
          <w:rFonts w:ascii="Arial" w:eastAsia="Calibri" w:hAnsi="Arial" w:cs="Arial"/>
          <w:lang w:eastAsia="en-US"/>
        </w:rPr>
      </w:pPr>
      <w:r w:rsidRPr="00103E7B">
        <w:rPr>
          <w:rFonts w:ascii="Arial" w:eastAsia="Calibri" w:hAnsi="Arial" w:cs="Arial"/>
          <w:lang w:eastAsia="en-US"/>
        </w:rPr>
        <w:t>I ask this as it may be helpful for targeting the lowest risk drugs to patients.</w:t>
      </w:r>
    </w:p>
    <w:p w:rsidR="00103E7B" w:rsidRPr="00103E7B" w:rsidRDefault="00103E7B" w:rsidP="00103E7B">
      <w:pPr>
        <w:spacing w:after="0" w:line="240" w:lineRule="auto"/>
        <w:ind w:left="360"/>
        <w:rPr>
          <w:rFonts w:ascii="Arial" w:eastAsia="Calibri" w:hAnsi="Arial" w:cs="Arial"/>
          <w:b/>
          <w:i/>
          <w:lang w:val="en-US" w:eastAsia="en-US"/>
        </w:rPr>
      </w:pPr>
      <w:r w:rsidRPr="00103E7B">
        <w:rPr>
          <w:rFonts w:ascii="Arial" w:eastAsia="Calibri" w:hAnsi="Arial" w:cs="Arial"/>
          <w:b/>
          <w:i/>
          <w:lang w:eastAsia="en-US"/>
        </w:rPr>
        <w:t>Andreas Pitsiaeli – Surrey Downs CCG</w:t>
      </w:r>
    </w:p>
    <w:p w:rsidR="00103E7B" w:rsidRPr="003E3AD1" w:rsidRDefault="00103E7B" w:rsidP="00103E7B">
      <w:pPr>
        <w:shd w:val="clear" w:color="auto" w:fill="D9D9D9"/>
        <w:spacing w:after="0" w:line="240" w:lineRule="auto"/>
        <w:rPr>
          <w:rFonts w:ascii="Arial" w:hAnsi="Arial" w:cs="Arial"/>
          <w:sz w:val="16"/>
          <w:szCs w:val="16"/>
        </w:rPr>
      </w:pPr>
      <w:r w:rsidRPr="00103E7B">
        <w:rPr>
          <w:rFonts w:ascii="Arial" w:eastAsia="Calibri" w:hAnsi="Arial" w:cs="Arial"/>
          <w:lang w:val="en-US" w:eastAsia="en-US"/>
        </w:rPr>
        <w:t>The proposal is aiming to support prescribers access a COXII when the clinical decision has been made that it would be more appropriate than a NSAID.  There is CKS guidance on when to use a COXII in preference to a NSAID – those at moderate or high gastrointestinal risk (without cardiovascular risk).</w:t>
      </w:r>
    </w:p>
    <w:sectPr w:rsidR="00103E7B" w:rsidRPr="003E3AD1" w:rsidSect="0048749A">
      <w:headerReference w:type="default" r:id="rId26"/>
      <w:footerReference w:type="default" r:id="rId27"/>
      <w:headerReference w:type="first" r:id="rId2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06" w:rsidRDefault="00081206" w:rsidP="0088351C">
      <w:pPr>
        <w:spacing w:after="0" w:line="240" w:lineRule="auto"/>
      </w:pPr>
      <w:r>
        <w:separator/>
      </w:r>
    </w:p>
  </w:endnote>
  <w:endnote w:type="continuationSeparator" w:id="0">
    <w:p w:rsidR="00081206" w:rsidRDefault="00081206" w:rsidP="0088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243246"/>
      <w:docPartObj>
        <w:docPartGallery w:val="Page Numbers (Bottom of Page)"/>
        <w:docPartUnique/>
      </w:docPartObj>
    </w:sdtPr>
    <w:sdtEndPr>
      <w:rPr>
        <w:noProof/>
      </w:rPr>
    </w:sdtEndPr>
    <w:sdtContent>
      <w:p w:rsidR="00BB217A" w:rsidRDefault="00BB217A" w:rsidP="00260A25">
        <w:pPr>
          <w:pStyle w:val="Footer"/>
        </w:pPr>
        <w:r>
          <w:t>Application for change in colour classification</w:t>
        </w:r>
        <w:r>
          <w:tab/>
          <w:t xml:space="preserve">         </w:t>
        </w:r>
        <w:r w:rsidR="00260A25">
          <w:t xml:space="preserve">                        </w:t>
        </w:r>
        <w:r>
          <w:t xml:space="preserve">     Agreed: Prescribing Clinical Network </w:t>
        </w:r>
      </w:p>
      <w:p w:rsidR="00BB217A" w:rsidRDefault="00BB217A" w:rsidP="0048749A">
        <w:pPr>
          <w:pStyle w:val="Footer"/>
          <w:jc w:val="center"/>
        </w:pPr>
        <w:r>
          <w:tab/>
          <w:t xml:space="preserve">                                                                           Review date:</w:t>
        </w:r>
        <w:r>
          <w:tab/>
        </w:r>
        <w:r>
          <w:tab/>
          <w:t xml:space="preserve">              </w:t>
        </w:r>
        <w:r>
          <w:fldChar w:fldCharType="begin"/>
        </w:r>
        <w:r>
          <w:instrText xml:space="preserve"> PAGE   \* MERGEFORMAT </w:instrText>
        </w:r>
        <w:r>
          <w:fldChar w:fldCharType="separate"/>
        </w:r>
        <w:r w:rsidR="008A4B2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06" w:rsidRDefault="00081206" w:rsidP="0088351C">
      <w:pPr>
        <w:spacing w:after="0" w:line="240" w:lineRule="auto"/>
      </w:pPr>
      <w:r>
        <w:separator/>
      </w:r>
    </w:p>
  </w:footnote>
  <w:footnote w:type="continuationSeparator" w:id="0">
    <w:p w:rsidR="00081206" w:rsidRDefault="00081206" w:rsidP="00883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7A" w:rsidRDefault="00BB217A" w:rsidP="0088351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7A" w:rsidRDefault="00BB217A" w:rsidP="00FC2F8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B54"/>
    <w:multiLevelType w:val="hybridMultilevel"/>
    <w:tmpl w:val="CA32914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E85A03"/>
    <w:multiLevelType w:val="hybridMultilevel"/>
    <w:tmpl w:val="FBAC9F6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B4D4148"/>
    <w:multiLevelType w:val="hybridMultilevel"/>
    <w:tmpl w:val="BF0A7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01821"/>
    <w:multiLevelType w:val="hybridMultilevel"/>
    <w:tmpl w:val="B828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D39F4"/>
    <w:multiLevelType w:val="hybridMultilevel"/>
    <w:tmpl w:val="7614448E"/>
    <w:lvl w:ilvl="0" w:tplc="60981D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C43FF2"/>
    <w:multiLevelType w:val="hybridMultilevel"/>
    <w:tmpl w:val="CC4A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1F1924"/>
    <w:multiLevelType w:val="hybridMultilevel"/>
    <w:tmpl w:val="6CDED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FE30C2F"/>
    <w:multiLevelType w:val="hybridMultilevel"/>
    <w:tmpl w:val="1E1C8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EE73C2"/>
    <w:multiLevelType w:val="hybridMultilevel"/>
    <w:tmpl w:val="8AFA40B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FC714D"/>
    <w:multiLevelType w:val="multilevel"/>
    <w:tmpl w:val="E084DF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3996A5B"/>
    <w:multiLevelType w:val="multilevel"/>
    <w:tmpl w:val="320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A54AE"/>
    <w:multiLevelType w:val="hybridMultilevel"/>
    <w:tmpl w:val="A72CF69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31AE3069"/>
    <w:multiLevelType w:val="hybridMultilevel"/>
    <w:tmpl w:val="F0580A74"/>
    <w:lvl w:ilvl="0" w:tplc="F5C05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0959A5"/>
    <w:multiLevelType w:val="hybridMultilevel"/>
    <w:tmpl w:val="CC1E4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4F65D4"/>
    <w:multiLevelType w:val="hybridMultilevel"/>
    <w:tmpl w:val="25A0D366"/>
    <w:lvl w:ilvl="0" w:tplc="B08C97E8">
      <w:start w:val="1"/>
      <w:numFmt w:val="bullet"/>
      <w:lvlText w:val="-"/>
      <w:lvlJc w:val="left"/>
      <w:pPr>
        <w:ind w:left="720" w:hanging="360"/>
      </w:pPr>
      <w:rPr>
        <w:rFonts w:ascii="Arial" w:eastAsiaTheme="minorHAns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133E73"/>
    <w:multiLevelType w:val="hybridMultilevel"/>
    <w:tmpl w:val="CC30E3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98C01D9"/>
    <w:multiLevelType w:val="hybridMultilevel"/>
    <w:tmpl w:val="2EE2DEE6"/>
    <w:lvl w:ilvl="0" w:tplc="F5C058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D70860"/>
    <w:multiLevelType w:val="multilevel"/>
    <w:tmpl w:val="3208EC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FF67023"/>
    <w:multiLevelType w:val="hybridMultilevel"/>
    <w:tmpl w:val="2794DA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532A86"/>
    <w:multiLevelType w:val="hybridMultilevel"/>
    <w:tmpl w:val="0D8A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5F31D2"/>
    <w:multiLevelType w:val="hybridMultilevel"/>
    <w:tmpl w:val="E32C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7CC189E"/>
    <w:multiLevelType w:val="hybridMultilevel"/>
    <w:tmpl w:val="9DF07590"/>
    <w:lvl w:ilvl="0" w:tplc="F6BC52B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0C67CB7"/>
    <w:multiLevelType w:val="hybridMultilevel"/>
    <w:tmpl w:val="9250AD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58E50F30"/>
    <w:multiLevelType w:val="multilevel"/>
    <w:tmpl w:val="8D9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D3338"/>
    <w:multiLevelType w:val="multilevel"/>
    <w:tmpl w:val="579EA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8748D4"/>
    <w:multiLevelType w:val="multilevel"/>
    <w:tmpl w:val="6916F7B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C886672"/>
    <w:multiLevelType w:val="hybridMultilevel"/>
    <w:tmpl w:val="9E64E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E4807FA"/>
    <w:multiLevelType w:val="hybridMultilevel"/>
    <w:tmpl w:val="34E0C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246AF6"/>
    <w:multiLevelType w:val="hybridMultilevel"/>
    <w:tmpl w:val="6F3238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8C7783"/>
    <w:multiLevelType w:val="hybridMultilevel"/>
    <w:tmpl w:val="4F60ACDC"/>
    <w:lvl w:ilvl="0" w:tplc="F5C058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35E347E"/>
    <w:multiLevelType w:val="hybridMultilevel"/>
    <w:tmpl w:val="0BBCA1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2"/>
  </w:num>
  <w:num w:numId="4">
    <w:abstractNumId w:val="18"/>
  </w:num>
  <w:num w:numId="5">
    <w:abstractNumId w:val="28"/>
  </w:num>
  <w:num w:numId="6">
    <w:abstractNumId w:val="23"/>
  </w:num>
  <w:num w:numId="7">
    <w:abstractNumId w:val="25"/>
  </w:num>
  <w:num w:numId="8">
    <w:abstractNumId w:val="20"/>
  </w:num>
  <w:num w:numId="9">
    <w:abstractNumId w:val="10"/>
  </w:num>
  <w:num w:numId="10">
    <w:abstractNumId w:val="17"/>
  </w:num>
  <w:num w:numId="11">
    <w:abstractNumId w:val="14"/>
  </w:num>
  <w:num w:numId="12">
    <w:abstractNumId w:val="11"/>
  </w:num>
  <w:num w:numId="13">
    <w:abstractNumId w:val="30"/>
  </w:num>
  <w:num w:numId="14">
    <w:abstractNumId w:val="19"/>
  </w:num>
  <w:num w:numId="15">
    <w:abstractNumId w:val="26"/>
  </w:num>
  <w:num w:numId="16">
    <w:abstractNumId w:val="3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7"/>
  </w:num>
  <w:num w:numId="20">
    <w:abstractNumId w:val="29"/>
  </w:num>
  <w:num w:numId="21">
    <w:abstractNumId w:val="13"/>
  </w:num>
  <w:num w:numId="22">
    <w:abstractNumId w:val="2"/>
  </w:num>
  <w:num w:numId="23">
    <w:abstractNumId w:val="15"/>
  </w:num>
  <w:num w:numId="24">
    <w:abstractNumId w:val="21"/>
  </w:num>
  <w:num w:numId="25">
    <w:abstractNumId w:val="24"/>
  </w:num>
  <w:num w:numId="26">
    <w:abstractNumId w:val="1"/>
  </w:num>
  <w:num w:numId="27">
    <w:abstractNumId w:val="4"/>
  </w:num>
  <w:num w:numId="28">
    <w:abstractNumId w:val="12"/>
  </w:num>
  <w:num w:numId="29">
    <w:abstractNumId w:val="9"/>
  </w:num>
  <w:num w:numId="30">
    <w:abstractNumId w:val="16"/>
  </w:num>
  <w:num w:numId="31">
    <w:abstractNumId w:val="7"/>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8D"/>
    <w:rsid w:val="00025169"/>
    <w:rsid w:val="0003280F"/>
    <w:rsid w:val="00037788"/>
    <w:rsid w:val="000520C5"/>
    <w:rsid w:val="00054B71"/>
    <w:rsid w:val="00056191"/>
    <w:rsid w:val="00080F86"/>
    <w:rsid w:val="00081206"/>
    <w:rsid w:val="00082D41"/>
    <w:rsid w:val="00082EBF"/>
    <w:rsid w:val="00085253"/>
    <w:rsid w:val="00094502"/>
    <w:rsid w:val="000A548B"/>
    <w:rsid w:val="000C56EB"/>
    <w:rsid w:val="000D544A"/>
    <w:rsid w:val="000D5E3E"/>
    <w:rsid w:val="000F0C50"/>
    <w:rsid w:val="00103E7B"/>
    <w:rsid w:val="001066E2"/>
    <w:rsid w:val="00133C30"/>
    <w:rsid w:val="00137A3A"/>
    <w:rsid w:val="00145BC4"/>
    <w:rsid w:val="00147EB5"/>
    <w:rsid w:val="00153542"/>
    <w:rsid w:val="00154E7D"/>
    <w:rsid w:val="00161515"/>
    <w:rsid w:val="001643F2"/>
    <w:rsid w:val="001666F2"/>
    <w:rsid w:val="00183B7F"/>
    <w:rsid w:val="001871D7"/>
    <w:rsid w:val="001A2967"/>
    <w:rsid w:val="001A6A51"/>
    <w:rsid w:val="001E370B"/>
    <w:rsid w:val="001F1436"/>
    <w:rsid w:val="001F304E"/>
    <w:rsid w:val="00202205"/>
    <w:rsid w:val="002078BB"/>
    <w:rsid w:val="002117DD"/>
    <w:rsid w:val="0021247E"/>
    <w:rsid w:val="00212B16"/>
    <w:rsid w:val="00213AB7"/>
    <w:rsid w:val="00255E1F"/>
    <w:rsid w:val="00260A25"/>
    <w:rsid w:val="0026327F"/>
    <w:rsid w:val="0027671E"/>
    <w:rsid w:val="002861A5"/>
    <w:rsid w:val="002908FF"/>
    <w:rsid w:val="0029402D"/>
    <w:rsid w:val="0029430B"/>
    <w:rsid w:val="002A542F"/>
    <w:rsid w:val="002A5F2C"/>
    <w:rsid w:val="002C1312"/>
    <w:rsid w:val="002F7303"/>
    <w:rsid w:val="003143FB"/>
    <w:rsid w:val="00324ABD"/>
    <w:rsid w:val="00341B28"/>
    <w:rsid w:val="00360C76"/>
    <w:rsid w:val="00372D29"/>
    <w:rsid w:val="003730E8"/>
    <w:rsid w:val="00386F7F"/>
    <w:rsid w:val="003949CB"/>
    <w:rsid w:val="003E76A9"/>
    <w:rsid w:val="004063E7"/>
    <w:rsid w:val="00433D5C"/>
    <w:rsid w:val="0046218C"/>
    <w:rsid w:val="0048749A"/>
    <w:rsid w:val="004D12F4"/>
    <w:rsid w:val="004D66A6"/>
    <w:rsid w:val="004E5727"/>
    <w:rsid w:val="00501848"/>
    <w:rsid w:val="005257DF"/>
    <w:rsid w:val="00535919"/>
    <w:rsid w:val="005622FB"/>
    <w:rsid w:val="005865F3"/>
    <w:rsid w:val="005975C7"/>
    <w:rsid w:val="005C08B0"/>
    <w:rsid w:val="005C2322"/>
    <w:rsid w:val="005C2C29"/>
    <w:rsid w:val="005C6D60"/>
    <w:rsid w:val="005D5AD0"/>
    <w:rsid w:val="005E3E08"/>
    <w:rsid w:val="006164B2"/>
    <w:rsid w:val="006449BE"/>
    <w:rsid w:val="00655F58"/>
    <w:rsid w:val="00663BFC"/>
    <w:rsid w:val="00667516"/>
    <w:rsid w:val="00685F00"/>
    <w:rsid w:val="00693933"/>
    <w:rsid w:val="007003EF"/>
    <w:rsid w:val="007327D0"/>
    <w:rsid w:val="007455C6"/>
    <w:rsid w:val="0076702F"/>
    <w:rsid w:val="00795AF0"/>
    <w:rsid w:val="007E3059"/>
    <w:rsid w:val="0083318D"/>
    <w:rsid w:val="0084159E"/>
    <w:rsid w:val="008741FD"/>
    <w:rsid w:val="00880DEA"/>
    <w:rsid w:val="0088351C"/>
    <w:rsid w:val="008A16CD"/>
    <w:rsid w:val="008A3069"/>
    <w:rsid w:val="008A4B29"/>
    <w:rsid w:val="008A5AB5"/>
    <w:rsid w:val="008B06DD"/>
    <w:rsid w:val="008C4964"/>
    <w:rsid w:val="008C7F82"/>
    <w:rsid w:val="008F1F75"/>
    <w:rsid w:val="00911D11"/>
    <w:rsid w:val="00920850"/>
    <w:rsid w:val="00936F6F"/>
    <w:rsid w:val="0098276D"/>
    <w:rsid w:val="009951DB"/>
    <w:rsid w:val="00995C36"/>
    <w:rsid w:val="009B02BD"/>
    <w:rsid w:val="009C78B5"/>
    <w:rsid w:val="009F62AD"/>
    <w:rsid w:val="00A01A16"/>
    <w:rsid w:val="00A077C4"/>
    <w:rsid w:val="00A1687D"/>
    <w:rsid w:val="00A17114"/>
    <w:rsid w:val="00A25A1F"/>
    <w:rsid w:val="00A3137B"/>
    <w:rsid w:val="00A4051E"/>
    <w:rsid w:val="00A54028"/>
    <w:rsid w:val="00A80233"/>
    <w:rsid w:val="00A92679"/>
    <w:rsid w:val="00A9336D"/>
    <w:rsid w:val="00A95274"/>
    <w:rsid w:val="00AB6BE4"/>
    <w:rsid w:val="00AC37F9"/>
    <w:rsid w:val="00AE33F4"/>
    <w:rsid w:val="00AE542B"/>
    <w:rsid w:val="00B0514E"/>
    <w:rsid w:val="00B14875"/>
    <w:rsid w:val="00B32A39"/>
    <w:rsid w:val="00B3513D"/>
    <w:rsid w:val="00B355C5"/>
    <w:rsid w:val="00B3644E"/>
    <w:rsid w:val="00B47E7B"/>
    <w:rsid w:val="00B535EA"/>
    <w:rsid w:val="00BB217A"/>
    <w:rsid w:val="00BF1857"/>
    <w:rsid w:val="00C012B2"/>
    <w:rsid w:val="00C0158B"/>
    <w:rsid w:val="00C0427F"/>
    <w:rsid w:val="00C045BB"/>
    <w:rsid w:val="00C046C4"/>
    <w:rsid w:val="00C15FF4"/>
    <w:rsid w:val="00C20065"/>
    <w:rsid w:val="00C22F21"/>
    <w:rsid w:val="00C55B1F"/>
    <w:rsid w:val="00C81BB0"/>
    <w:rsid w:val="00C83E2A"/>
    <w:rsid w:val="00C85C13"/>
    <w:rsid w:val="00C93D67"/>
    <w:rsid w:val="00C96F0E"/>
    <w:rsid w:val="00CA43C3"/>
    <w:rsid w:val="00CC4C4E"/>
    <w:rsid w:val="00CD3519"/>
    <w:rsid w:val="00CF016C"/>
    <w:rsid w:val="00CF65D1"/>
    <w:rsid w:val="00D31857"/>
    <w:rsid w:val="00D363F2"/>
    <w:rsid w:val="00D4669F"/>
    <w:rsid w:val="00D606DA"/>
    <w:rsid w:val="00D615CB"/>
    <w:rsid w:val="00D73FAC"/>
    <w:rsid w:val="00DA53CD"/>
    <w:rsid w:val="00DC4F08"/>
    <w:rsid w:val="00DD3279"/>
    <w:rsid w:val="00DD70D7"/>
    <w:rsid w:val="00E035A3"/>
    <w:rsid w:val="00E216E1"/>
    <w:rsid w:val="00E252E3"/>
    <w:rsid w:val="00E60A50"/>
    <w:rsid w:val="00E9018C"/>
    <w:rsid w:val="00E905F7"/>
    <w:rsid w:val="00EB0E10"/>
    <w:rsid w:val="00EB317E"/>
    <w:rsid w:val="00ED689D"/>
    <w:rsid w:val="00EE066E"/>
    <w:rsid w:val="00EF0894"/>
    <w:rsid w:val="00EF5594"/>
    <w:rsid w:val="00F23CF8"/>
    <w:rsid w:val="00F550E8"/>
    <w:rsid w:val="00F61393"/>
    <w:rsid w:val="00F73C9C"/>
    <w:rsid w:val="00FA7EA9"/>
    <w:rsid w:val="00FC134F"/>
    <w:rsid w:val="00FC2F8A"/>
    <w:rsid w:val="00FD1D66"/>
    <w:rsid w:val="00FD4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12A1F2-67ED-47EF-BC4F-773E14A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1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1C"/>
    <w:rPr>
      <w:rFonts w:ascii="Tahoma" w:hAnsi="Tahoma" w:cs="Tahoma"/>
      <w:sz w:val="16"/>
      <w:szCs w:val="16"/>
    </w:rPr>
  </w:style>
  <w:style w:type="paragraph" w:styleId="Header">
    <w:name w:val="header"/>
    <w:basedOn w:val="Normal"/>
    <w:link w:val="HeaderChar"/>
    <w:unhideWhenUsed/>
    <w:rsid w:val="0088351C"/>
    <w:pPr>
      <w:tabs>
        <w:tab w:val="center" w:pos="4513"/>
        <w:tab w:val="right" w:pos="9026"/>
      </w:tabs>
      <w:spacing w:after="0" w:line="240" w:lineRule="auto"/>
    </w:pPr>
  </w:style>
  <w:style w:type="character" w:customStyle="1" w:styleId="HeaderChar">
    <w:name w:val="Header Char"/>
    <w:basedOn w:val="DefaultParagraphFont"/>
    <w:link w:val="Header"/>
    <w:rsid w:val="0088351C"/>
  </w:style>
  <w:style w:type="paragraph" w:styleId="Footer">
    <w:name w:val="footer"/>
    <w:basedOn w:val="Normal"/>
    <w:link w:val="FooterChar"/>
    <w:uiPriority w:val="99"/>
    <w:unhideWhenUsed/>
    <w:rsid w:val="0088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51C"/>
  </w:style>
  <w:style w:type="paragraph" w:styleId="NoSpacing">
    <w:name w:val="No Spacing"/>
    <w:uiPriority w:val="1"/>
    <w:qFormat/>
    <w:rsid w:val="0088351C"/>
    <w:pPr>
      <w:spacing w:after="0" w:line="240" w:lineRule="auto"/>
    </w:pPr>
    <w:rPr>
      <w:rFonts w:eastAsiaTheme="minorEastAsia"/>
      <w:lang w:eastAsia="en-GB"/>
    </w:rPr>
  </w:style>
  <w:style w:type="paragraph" w:styleId="ListParagraph">
    <w:name w:val="List Paragraph"/>
    <w:basedOn w:val="Normal"/>
    <w:uiPriority w:val="34"/>
    <w:qFormat/>
    <w:rsid w:val="0088351C"/>
    <w:pPr>
      <w:ind w:left="720"/>
      <w:contextualSpacing/>
    </w:pPr>
  </w:style>
  <w:style w:type="table" w:styleId="TableGrid">
    <w:name w:val="Table Grid"/>
    <w:basedOn w:val="TableNormal"/>
    <w:uiPriority w:val="59"/>
    <w:rsid w:val="00F61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B6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3AB7"/>
    <w:rPr>
      <w:sz w:val="16"/>
      <w:szCs w:val="16"/>
    </w:rPr>
  </w:style>
  <w:style w:type="paragraph" w:styleId="CommentText">
    <w:name w:val="annotation text"/>
    <w:basedOn w:val="Normal"/>
    <w:link w:val="CommentTextChar"/>
    <w:semiHidden/>
    <w:unhideWhenUsed/>
    <w:rsid w:val="00213AB7"/>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semiHidden/>
    <w:rsid w:val="00213AB7"/>
    <w:rPr>
      <w:sz w:val="20"/>
      <w:szCs w:val="20"/>
    </w:rPr>
  </w:style>
  <w:style w:type="character" w:styleId="Hyperlink">
    <w:name w:val="Hyperlink"/>
    <w:basedOn w:val="DefaultParagraphFont"/>
    <w:uiPriority w:val="99"/>
    <w:unhideWhenUsed/>
    <w:rsid w:val="0009450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33D5C"/>
    <w:rPr>
      <w:rFonts w:eastAsiaTheme="minorEastAsia"/>
      <w:b/>
      <w:bCs/>
      <w:lang w:eastAsia="en-GB"/>
    </w:rPr>
  </w:style>
  <w:style w:type="character" w:customStyle="1" w:styleId="CommentSubjectChar">
    <w:name w:val="Comment Subject Char"/>
    <w:basedOn w:val="CommentTextChar"/>
    <w:link w:val="CommentSubject"/>
    <w:uiPriority w:val="99"/>
    <w:semiHidden/>
    <w:rsid w:val="00433D5C"/>
    <w:rPr>
      <w:rFonts w:eastAsiaTheme="minorEastAsia"/>
      <w:b/>
      <w:bCs/>
      <w:sz w:val="20"/>
      <w:szCs w:val="20"/>
      <w:lang w:eastAsia="en-GB"/>
    </w:rPr>
  </w:style>
  <w:style w:type="character" w:styleId="FollowedHyperlink">
    <w:name w:val="FollowedHyperlink"/>
    <w:basedOn w:val="DefaultParagraphFont"/>
    <w:uiPriority w:val="99"/>
    <w:semiHidden/>
    <w:unhideWhenUsed/>
    <w:rsid w:val="0003280F"/>
    <w:rPr>
      <w:color w:val="800080" w:themeColor="followedHyperlink"/>
      <w:u w:val="single"/>
    </w:rPr>
  </w:style>
  <w:style w:type="paragraph" w:styleId="NormalWeb">
    <w:name w:val="Normal (Web)"/>
    <w:basedOn w:val="Normal"/>
    <w:uiPriority w:val="99"/>
    <w:semiHidden/>
    <w:unhideWhenUsed/>
    <w:rsid w:val="00202205"/>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202205"/>
    <w:rPr>
      <w:b/>
      <w:bCs/>
    </w:rPr>
  </w:style>
  <w:style w:type="character" w:styleId="Emphasis">
    <w:name w:val="Emphasis"/>
    <w:basedOn w:val="DefaultParagraphFont"/>
    <w:uiPriority w:val="20"/>
    <w:qFormat/>
    <w:rsid w:val="00911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810">
      <w:bodyDiv w:val="1"/>
      <w:marLeft w:val="0"/>
      <w:marRight w:val="0"/>
      <w:marTop w:val="0"/>
      <w:marBottom w:val="0"/>
      <w:divBdr>
        <w:top w:val="none" w:sz="0" w:space="0" w:color="auto"/>
        <w:left w:val="none" w:sz="0" w:space="0" w:color="auto"/>
        <w:bottom w:val="none" w:sz="0" w:space="0" w:color="auto"/>
        <w:right w:val="none" w:sz="0" w:space="0" w:color="auto"/>
      </w:divBdr>
      <w:divsChild>
        <w:div w:id="835419208">
          <w:marLeft w:val="0"/>
          <w:marRight w:val="0"/>
          <w:marTop w:val="0"/>
          <w:marBottom w:val="0"/>
          <w:divBdr>
            <w:top w:val="none" w:sz="0" w:space="0" w:color="auto"/>
            <w:left w:val="none" w:sz="0" w:space="0" w:color="auto"/>
            <w:bottom w:val="none" w:sz="0" w:space="0" w:color="auto"/>
            <w:right w:val="none" w:sz="0" w:space="0" w:color="auto"/>
          </w:divBdr>
          <w:divsChild>
            <w:div w:id="1353531758">
              <w:marLeft w:val="0"/>
              <w:marRight w:val="0"/>
              <w:marTop w:val="0"/>
              <w:marBottom w:val="0"/>
              <w:divBdr>
                <w:top w:val="none" w:sz="0" w:space="0" w:color="auto"/>
                <w:left w:val="none" w:sz="0" w:space="0" w:color="auto"/>
                <w:bottom w:val="none" w:sz="0" w:space="0" w:color="auto"/>
                <w:right w:val="none" w:sz="0" w:space="0" w:color="auto"/>
              </w:divBdr>
              <w:divsChild>
                <w:div w:id="1883786464">
                  <w:marLeft w:val="0"/>
                  <w:marRight w:val="0"/>
                  <w:marTop w:val="0"/>
                  <w:marBottom w:val="0"/>
                  <w:divBdr>
                    <w:top w:val="none" w:sz="0" w:space="0" w:color="auto"/>
                    <w:left w:val="none" w:sz="0" w:space="0" w:color="auto"/>
                    <w:bottom w:val="none" w:sz="0" w:space="0" w:color="auto"/>
                    <w:right w:val="none" w:sz="0" w:space="0" w:color="auto"/>
                  </w:divBdr>
                  <w:divsChild>
                    <w:div w:id="1076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699">
      <w:bodyDiv w:val="1"/>
      <w:marLeft w:val="0"/>
      <w:marRight w:val="0"/>
      <w:marTop w:val="0"/>
      <w:marBottom w:val="0"/>
      <w:divBdr>
        <w:top w:val="none" w:sz="0" w:space="0" w:color="auto"/>
        <w:left w:val="none" w:sz="0" w:space="0" w:color="auto"/>
        <w:bottom w:val="none" w:sz="0" w:space="0" w:color="auto"/>
        <w:right w:val="none" w:sz="0" w:space="0" w:color="auto"/>
      </w:divBdr>
    </w:div>
    <w:div w:id="115104712">
      <w:bodyDiv w:val="1"/>
      <w:marLeft w:val="0"/>
      <w:marRight w:val="0"/>
      <w:marTop w:val="0"/>
      <w:marBottom w:val="0"/>
      <w:divBdr>
        <w:top w:val="none" w:sz="0" w:space="0" w:color="auto"/>
        <w:left w:val="none" w:sz="0" w:space="0" w:color="auto"/>
        <w:bottom w:val="none" w:sz="0" w:space="0" w:color="auto"/>
        <w:right w:val="none" w:sz="0" w:space="0" w:color="auto"/>
      </w:divBdr>
      <w:divsChild>
        <w:div w:id="609779047">
          <w:marLeft w:val="0"/>
          <w:marRight w:val="0"/>
          <w:marTop w:val="0"/>
          <w:marBottom w:val="0"/>
          <w:divBdr>
            <w:top w:val="none" w:sz="0" w:space="0" w:color="auto"/>
            <w:left w:val="none" w:sz="0" w:space="0" w:color="auto"/>
            <w:bottom w:val="none" w:sz="0" w:space="0" w:color="auto"/>
            <w:right w:val="none" w:sz="0" w:space="0" w:color="auto"/>
          </w:divBdr>
          <w:divsChild>
            <w:div w:id="972950219">
              <w:marLeft w:val="0"/>
              <w:marRight w:val="0"/>
              <w:marTop w:val="0"/>
              <w:marBottom w:val="0"/>
              <w:divBdr>
                <w:top w:val="none" w:sz="0" w:space="0" w:color="auto"/>
                <w:left w:val="none" w:sz="0" w:space="0" w:color="auto"/>
                <w:bottom w:val="none" w:sz="0" w:space="0" w:color="auto"/>
                <w:right w:val="none" w:sz="0" w:space="0" w:color="auto"/>
              </w:divBdr>
              <w:divsChild>
                <w:div w:id="18613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5825">
      <w:bodyDiv w:val="1"/>
      <w:marLeft w:val="0"/>
      <w:marRight w:val="0"/>
      <w:marTop w:val="0"/>
      <w:marBottom w:val="0"/>
      <w:divBdr>
        <w:top w:val="none" w:sz="0" w:space="0" w:color="auto"/>
        <w:left w:val="none" w:sz="0" w:space="0" w:color="auto"/>
        <w:bottom w:val="none" w:sz="0" w:space="0" w:color="auto"/>
        <w:right w:val="none" w:sz="0" w:space="0" w:color="auto"/>
      </w:divBdr>
    </w:div>
    <w:div w:id="309099641">
      <w:bodyDiv w:val="1"/>
      <w:marLeft w:val="0"/>
      <w:marRight w:val="0"/>
      <w:marTop w:val="0"/>
      <w:marBottom w:val="0"/>
      <w:divBdr>
        <w:top w:val="none" w:sz="0" w:space="0" w:color="auto"/>
        <w:left w:val="none" w:sz="0" w:space="0" w:color="auto"/>
        <w:bottom w:val="none" w:sz="0" w:space="0" w:color="auto"/>
        <w:right w:val="none" w:sz="0" w:space="0" w:color="auto"/>
      </w:divBdr>
    </w:div>
    <w:div w:id="389306597">
      <w:bodyDiv w:val="1"/>
      <w:marLeft w:val="0"/>
      <w:marRight w:val="0"/>
      <w:marTop w:val="0"/>
      <w:marBottom w:val="0"/>
      <w:divBdr>
        <w:top w:val="none" w:sz="0" w:space="0" w:color="auto"/>
        <w:left w:val="none" w:sz="0" w:space="0" w:color="auto"/>
        <w:bottom w:val="none" w:sz="0" w:space="0" w:color="auto"/>
        <w:right w:val="none" w:sz="0" w:space="0" w:color="auto"/>
      </w:divBdr>
    </w:div>
    <w:div w:id="391923963">
      <w:bodyDiv w:val="1"/>
      <w:marLeft w:val="0"/>
      <w:marRight w:val="0"/>
      <w:marTop w:val="0"/>
      <w:marBottom w:val="0"/>
      <w:divBdr>
        <w:top w:val="none" w:sz="0" w:space="0" w:color="auto"/>
        <w:left w:val="none" w:sz="0" w:space="0" w:color="auto"/>
        <w:bottom w:val="none" w:sz="0" w:space="0" w:color="auto"/>
        <w:right w:val="none" w:sz="0" w:space="0" w:color="auto"/>
      </w:divBdr>
    </w:div>
    <w:div w:id="504056998">
      <w:bodyDiv w:val="1"/>
      <w:marLeft w:val="0"/>
      <w:marRight w:val="0"/>
      <w:marTop w:val="0"/>
      <w:marBottom w:val="0"/>
      <w:divBdr>
        <w:top w:val="none" w:sz="0" w:space="0" w:color="auto"/>
        <w:left w:val="none" w:sz="0" w:space="0" w:color="auto"/>
        <w:bottom w:val="none" w:sz="0" w:space="0" w:color="auto"/>
        <w:right w:val="none" w:sz="0" w:space="0" w:color="auto"/>
      </w:divBdr>
    </w:div>
    <w:div w:id="582951523">
      <w:bodyDiv w:val="1"/>
      <w:marLeft w:val="0"/>
      <w:marRight w:val="0"/>
      <w:marTop w:val="0"/>
      <w:marBottom w:val="0"/>
      <w:divBdr>
        <w:top w:val="none" w:sz="0" w:space="0" w:color="auto"/>
        <w:left w:val="none" w:sz="0" w:space="0" w:color="auto"/>
        <w:bottom w:val="none" w:sz="0" w:space="0" w:color="auto"/>
        <w:right w:val="none" w:sz="0" w:space="0" w:color="auto"/>
      </w:divBdr>
    </w:div>
    <w:div w:id="599752161">
      <w:bodyDiv w:val="1"/>
      <w:marLeft w:val="0"/>
      <w:marRight w:val="0"/>
      <w:marTop w:val="0"/>
      <w:marBottom w:val="0"/>
      <w:divBdr>
        <w:top w:val="none" w:sz="0" w:space="0" w:color="auto"/>
        <w:left w:val="none" w:sz="0" w:space="0" w:color="auto"/>
        <w:bottom w:val="none" w:sz="0" w:space="0" w:color="auto"/>
        <w:right w:val="none" w:sz="0" w:space="0" w:color="auto"/>
      </w:divBdr>
      <w:divsChild>
        <w:div w:id="248320119">
          <w:marLeft w:val="0"/>
          <w:marRight w:val="0"/>
          <w:marTop w:val="0"/>
          <w:marBottom w:val="0"/>
          <w:divBdr>
            <w:top w:val="none" w:sz="0" w:space="0" w:color="auto"/>
            <w:left w:val="none" w:sz="0" w:space="0" w:color="auto"/>
            <w:bottom w:val="none" w:sz="0" w:space="0" w:color="auto"/>
            <w:right w:val="none" w:sz="0" w:space="0" w:color="auto"/>
          </w:divBdr>
          <w:divsChild>
            <w:div w:id="434248930">
              <w:marLeft w:val="0"/>
              <w:marRight w:val="0"/>
              <w:marTop w:val="0"/>
              <w:marBottom w:val="0"/>
              <w:divBdr>
                <w:top w:val="none" w:sz="0" w:space="0" w:color="auto"/>
                <w:left w:val="none" w:sz="0" w:space="0" w:color="auto"/>
                <w:bottom w:val="none" w:sz="0" w:space="0" w:color="auto"/>
                <w:right w:val="none" w:sz="0" w:space="0" w:color="auto"/>
              </w:divBdr>
              <w:divsChild>
                <w:div w:id="1158350709">
                  <w:marLeft w:val="0"/>
                  <w:marRight w:val="0"/>
                  <w:marTop w:val="0"/>
                  <w:marBottom w:val="0"/>
                  <w:divBdr>
                    <w:top w:val="none" w:sz="0" w:space="0" w:color="auto"/>
                    <w:left w:val="none" w:sz="0" w:space="0" w:color="auto"/>
                    <w:bottom w:val="none" w:sz="0" w:space="0" w:color="auto"/>
                    <w:right w:val="none" w:sz="0" w:space="0" w:color="auto"/>
                  </w:divBdr>
                  <w:divsChild>
                    <w:div w:id="1370449642">
                      <w:marLeft w:val="0"/>
                      <w:marRight w:val="0"/>
                      <w:marTop w:val="0"/>
                      <w:marBottom w:val="0"/>
                      <w:divBdr>
                        <w:top w:val="none" w:sz="0" w:space="0" w:color="auto"/>
                        <w:left w:val="none" w:sz="0" w:space="0" w:color="auto"/>
                        <w:bottom w:val="none" w:sz="0" w:space="0" w:color="auto"/>
                        <w:right w:val="none" w:sz="0" w:space="0" w:color="auto"/>
                      </w:divBdr>
                      <w:divsChild>
                        <w:div w:id="2039046496">
                          <w:marLeft w:val="0"/>
                          <w:marRight w:val="0"/>
                          <w:marTop w:val="0"/>
                          <w:marBottom w:val="0"/>
                          <w:divBdr>
                            <w:top w:val="none" w:sz="0" w:space="0" w:color="auto"/>
                            <w:left w:val="none" w:sz="0" w:space="0" w:color="auto"/>
                            <w:bottom w:val="none" w:sz="0" w:space="0" w:color="auto"/>
                            <w:right w:val="none" w:sz="0" w:space="0" w:color="auto"/>
                          </w:divBdr>
                          <w:divsChild>
                            <w:div w:id="352194738">
                              <w:marLeft w:val="0"/>
                              <w:marRight w:val="0"/>
                              <w:marTop w:val="0"/>
                              <w:marBottom w:val="0"/>
                              <w:divBdr>
                                <w:top w:val="none" w:sz="0" w:space="0" w:color="auto"/>
                                <w:left w:val="none" w:sz="0" w:space="0" w:color="auto"/>
                                <w:bottom w:val="none" w:sz="0" w:space="0" w:color="auto"/>
                                <w:right w:val="none" w:sz="0" w:space="0" w:color="auto"/>
                              </w:divBdr>
                              <w:divsChild>
                                <w:div w:id="2029335709">
                                  <w:marLeft w:val="0"/>
                                  <w:marRight w:val="0"/>
                                  <w:marTop w:val="0"/>
                                  <w:marBottom w:val="0"/>
                                  <w:divBdr>
                                    <w:top w:val="none" w:sz="0" w:space="0" w:color="auto"/>
                                    <w:left w:val="none" w:sz="0" w:space="0" w:color="auto"/>
                                    <w:bottom w:val="none" w:sz="0" w:space="0" w:color="auto"/>
                                    <w:right w:val="none" w:sz="0" w:space="0" w:color="auto"/>
                                  </w:divBdr>
                                  <w:divsChild>
                                    <w:div w:id="1260601695">
                                      <w:marLeft w:val="0"/>
                                      <w:marRight w:val="0"/>
                                      <w:marTop w:val="0"/>
                                      <w:marBottom w:val="0"/>
                                      <w:divBdr>
                                        <w:top w:val="none" w:sz="0" w:space="0" w:color="auto"/>
                                        <w:left w:val="none" w:sz="0" w:space="0" w:color="auto"/>
                                        <w:bottom w:val="none" w:sz="0" w:space="0" w:color="auto"/>
                                        <w:right w:val="none" w:sz="0" w:space="0" w:color="auto"/>
                                      </w:divBdr>
                                      <w:divsChild>
                                        <w:div w:id="1125924473">
                                          <w:marLeft w:val="0"/>
                                          <w:marRight w:val="0"/>
                                          <w:marTop w:val="0"/>
                                          <w:marBottom w:val="0"/>
                                          <w:divBdr>
                                            <w:top w:val="none" w:sz="0" w:space="0" w:color="auto"/>
                                            <w:left w:val="single" w:sz="6" w:space="0" w:color="999999"/>
                                            <w:bottom w:val="none" w:sz="0" w:space="0" w:color="auto"/>
                                            <w:right w:val="none" w:sz="0" w:space="0" w:color="auto"/>
                                          </w:divBdr>
                                          <w:divsChild>
                                            <w:div w:id="714501039">
                                              <w:marLeft w:val="0"/>
                                              <w:marRight w:val="0"/>
                                              <w:marTop w:val="150"/>
                                              <w:marBottom w:val="150"/>
                                              <w:divBdr>
                                                <w:top w:val="none" w:sz="0" w:space="0" w:color="auto"/>
                                                <w:left w:val="none" w:sz="0" w:space="0" w:color="auto"/>
                                                <w:bottom w:val="none" w:sz="0" w:space="0" w:color="auto"/>
                                                <w:right w:val="none" w:sz="0" w:space="0" w:color="auto"/>
                                              </w:divBdr>
                                              <w:divsChild>
                                                <w:div w:id="1227491646">
                                                  <w:marLeft w:val="0"/>
                                                  <w:marRight w:val="0"/>
                                                  <w:marTop w:val="0"/>
                                                  <w:marBottom w:val="0"/>
                                                  <w:divBdr>
                                                    <w:top w:val="none" w:sz="0" w:space="0" w:color="auto"/>
                                                    <w:left w:val="none" w:sz="0" w:space="0" w:color="auto"/>
                                                    <w:bottom w:val="none" w:sz="0" w:space="0" w:color="auto"/>
                                                    <w:right w:val="none" w:sz="0" w:space="0" w:color="auto"/>
                                                  </w:divBdr>
                                                  <w:divsChild>
                                                    <w:div w:id="19181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649983">
      <w:bodyDiv w:val="1"/>
      <w:marLeft w:val="0"/>
      <w:marRight w:val="0"/>
      <w:marTop w:val="0"/>
      <w:marBottom w:val="0"/>
      <w:divBdr>
        <w:top w:val="none" w:sz="0" w:space="0" w:color="auto"/>
        <w:left w:val="none" w:sz="0" w:space="0" w:color="auto"/>
        <w:bottom w:val="none" w:sz="0" w:space="0" w:color="auto"/>
        <w:right w:val="none" w:sz="0" w:space="0" w:color="auto"/>
      </w:divBdr>
    </w:div>
    <w:div w:id="607590422">
      <w:bodyDiv w:val="1"/>
      <w:marLeft w:val="0"/>
      <w:marRight w:val="0"/>
      <w:marTop w:val="0"/>
      <w:marBottom w:val="0"/>
      <w:divBdr>
        <w:top w:val="none" w:sz="0" w:space="0" w:color="auto"/>
        <w:left w:val="none" w:sz="0" w:space="0" w:color="auto"/>
        <w:bottom w:val="none" w:sz="0" w:space="0" w:color="auto"/>
        <w:right w:val="none" w:sz="0" w:space="0" w:color="auto"/>
      </w:divBdr>
    </w:div>
    <w:div w:id="657078120">
      <w:bodyDiv w:val="1"/>
      <w:marLeft w:val="0"/>
      <w:marRight w:val="0"/>
      <w:marTop w:val="0"/>
      <w:marBottom w:val="0"/>
      <w:divBdr>
        <w:top w:val="none" w:sz="0" w:space="0" w:color="auto"/>
        <w:left w:val="none" w:sz="0" w:space="0" w:color="auto"/>
        <w:bottom w:val="none" w:sz="0" w:space="0" w:color="auto"/>
        <w:right w:val="none" w:sz="0" w:space="0" w:color="auto"/>
      </w:divBdr>
    </w:div>
    <w:div w:id="796023280">
      <w:bodyDiv w:val="1"/>
      <w:marLeft w:val="0"/>
      <w:marRight w:val="0"/>
      <w:marTop w:val="0"/>
      <w:marBottom w:val="0"/>
      <w:divBdr>
        <w:top w:val="none" w:sz="0" w:space="0" w:color="auto"/>
        <w:left w:val="none" w:sz="0" w:space="0" w:color="auto"/>
        <w:bottom w:val="none" w:sz="0" w:space="0" w:color="auto"/>
        <w:right w:val="none" w:sz="0" w:space="0" w:color="auto"/>
      </w:divBdr>
      <w:divsChild>
        <w:div w:id="842550849">
          <w:marLeft w:val="0"/>
          <w:marRight w:val="0"/>
          <w:marTop w:val="0"/>
          <w:marBottom w:val="0"/>
          <w:divBdr>
            <w:top w:val="none" w:sz="0" w:space="0" w:color="auto"/>
            <w:left w:val="none" w:sz="0" w:space="0" w:color="auto"/>
            <w:bottom w:val="none" w:sz="0" w:space="0" w:color="auto"/>
            <w:right w:val="none" w:sz="0" w:space="0" w:color="auto"/>
          </w:divBdr>
          <w:divsChild>
            <w:div w:id="97873072">
              <w:marLeft w:val="0"/>
              <w:marRight w:val="0"/>
              <w:marTop w:val="0"/>
              <w:marBottom w:val="0"/>
              <w:divBdr>
                <w:top w:val="none" w:sz="0" w:space="0" w:color="auto"/>
                <w:left w:val="none" w:sz="0" w:space="0" w:color="auto"/>
                <w:bottom w:val="none" w:sz="0" w:space="0" w:color="auto"/>
                <w:right w:val="none" w:sz="0" w:space="0" w:color="auto"/>
              </w:divBdr>
              <w:divsChild>
                <w:div w:id="1113473199">
                  <w:marLeft w:val="0"/>
                  <w:marRight w:val="0"/>
                  <w:marTop w:val="0"/>
                  <w:marBottom w:val="0"/>
                  <w:divBdr>
                    <w:top w:val="none" w:sz="0" w:space="0" w:color="auto"/>
                    <w:left w:val="none" w:sz="0" w:space="0" w:color="auto"/>
                    <w:bottom w:val="none" w:sz="0" w:space="0" w:color="auto"/>
                    <w:right w:val="none" w:sz="0" w:space="0" w:color="auto"/>
                  </w:divBdr>
                  <w:divsChild>
                    <w:div w:id="1693529614">
                      <w:marLeft w:val="0"/>
                      <w:marRight w:val="0"/>
                      <w:marTop w:val="0"/>
                      <w:marBottom w:val="0"/>
                      <w:divBdr>
                        <w:top w:val="single" w:sz="6" w:space="0" w:color="E3E3E3"/>
                        <w:left w:val="single" w:sz="6" w:space="0" w:color="E3E3E3"/>
                        <w:bottom w:val="single" w:sz="2" w:space="0" w:color="E3E3E3"/>
                        <w:right w:val="single" w:sz="6" w:space="0" w:color="E3E3E3"/>
                      </w:divBdr>
                      <w:divsChild>
                        <w:div w:id="1427077384">
                          <w:marLeft w:val="0"/>
                          <w:marRight w:val="0"/>
                          <w:marTop w:val="0"/>
                          <w:marBottom w:val="0"/>
                          <w:divBdr>
                            <w:top w:val="none" w:sz="0" w:space="0" w:color="auto"/>
                            <w:left w:val="none" w:sz="0" w:space="0" w:color="auto"/>
                            <w:bottom w:val="none" w:sz="0" w:space="0" w:color="auto"/>
                            <w:right w:val="none" w:sz="0" w:space="0" w:color="auto"/>
                          </w:divBdr>
                          <w:divsChild>
                            <w:div w:id="3951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07725">
      <w:bodyDiv w:val="1"/>
      <w:marLeft w:val="0"/>
      <w:marRight w:val="0"/>
      <w:marTop w:val="0"/>
      <w:marBottom w:val="0"/>
      <w:divBdr>
        <w:top w:val="none" w:sz="0" w:space="0" w:color="auto"/>
        <w:left w:val="none" w:sz="0" w:space="0" w:color="auto"/>
        <w:bottom w:val="none" w:sz="0" w:space="0" w:color="auto"/>
        <w:right w:val="none" w:sz="0" w:space="0" w:color="auto"/>
      </w:divBdr>
      <w:divsChild>
        <w:div w:id="1671248855">
          <w:marLeft w:val="0"/>
          <w:marRight w:val="0"/>
          <w:marTop w:val="0"/>
          <w:marBottom w:val="0"/>
          <w:divBdr>
            <w:top w:val="none" w:sz="0" w:space="0" w:color="auto"/>
            <w:left w:val="none" w:sz="0" w:space="0" w:color="auto"/>
            <w:bottom w:val="none" w:sz="0" w:space="0" w:color="auto"/>
            <w:right w:val="none" w:sz="0" w:space="0" w:color="auto"/>
          </w:divBdr>
          <w:divsChild>
            <w:div w:id="191262944">
              <w:marLeft w:val="0"/>
              <w:marRight w:val="0"/>
              <w:marTop w:val="0"/>
              <w:marBottom w:val="0"/>
              <w:divBdr>
                <w:top w:val="none" w:sz="0" w:space="0" w:color="auto"/>
                <w:left w:val="none" w:sz="0" w:space="0" w:color="auto"/>
                <w:bottom w:val="none" w:sz="0" w:space="0" w:color="auto"/>
                <w:right w:val="none" w:sz="0" w:space="0" w:color="auto"/>
              </w:divBdr>
              <w:divsChild>
                <w:div w:id="644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3988">
      <w:bodyDiv w:val="1"/>
      <w:marLeft w:val="0"/>
      <w:marRight w:val="0"/>
      <w:marTop w:val="0"/>
      <w:marBottom w:val="0"/>
      <w:divBdr>
        <w:top w:val="none" w:sz="0" w:space="0" w:color="auto"/>
        <w:left w:val="none" w:sz="0" w:space="0" w:color="auto"/>
        <w:bottom w:val="none" w:sz="0" w:space="0" w:color="auto"/>
        <w:right w:val="none" w:sz="0" w:space="0" w:color="auto"/>
      </w:divBdr>
    </w:div>
    <w:div w:id="995189908">
      <w:bodyDiv w:val="1"/>
      <w:marLeft w:val="0"/>
      <w:marRight w:val="0"/>
      <w:marTop w:val="0"/>
      <w:marBottom w:val="0"/>
      <w:divBdr>
        <w:top w:val="none" w:sz="0" w:space="0" w:color="auto"/>
        <w:left w:val="none" w:sz="0" w:space="0" w:color="auto"/>
        <w:bottom w:val="none" w:sz="0" w:space="0" w:color="auto"/>
        <w:right w:val="none" w:sz="0" w:space="0" w:color="auto"/>
      </w:divBdr>
    </w:div>
    <w:div w:id="1187989290">
      <w:bodyDiv w:val="1"/>
      <w:marLeft w:val="0"/>
      <w:marRight w:val="0"/>
      <w:marTop w:val="0"/>
      <w:marBottom w:val="0"/>
      <w:divBdr>
        <w:top w:val="none" w:sz="0" w:space="0" w:color="auto"/>
        <w:left w:val="none" w:sz="0" w:space="0" w:color="auto"/>
        <w:bottom w:val="none" w:sz="0" w:space="0" w:color="auto"/>
        <w:right w:val="none" w:sz="0" w:space="0" w:color="auto"/>
      </w:divBdr>
    </w:div>
    <w:div w:id="1377117672">
      <w:bodyDiv w:val="1"/>
      <w:marLeft w:val="0"/>
      <w:marRight w:val="0"/>
      <w:marTop w:val="0"/>
      <w:marBottom w:val="0"/>
      <w:divBdr>
        <w:top w:val="none" w:sz="0" w:space="0" w:color="auto"/>
        <w:left w:val="none" w:sz="0" w:space="0" w:color="auto"/>
        <w:bottom w:val="none" w:sz="0" w:space="0" w:color="auto"/>
        <w:right w:val="none" w:sz="0" w:space="0" w:color="auto"/>
      </w:divBdr>
      <w:divsChild>
        <w:div w:id="1334264598">
          <w:marLeft w:val="0"/>
          <w:marRight w:val="0"/>
          <w:marTop w:val="0"/>
          <w:marBottom w:val="0"/>
          <w:divBdr>
            <w:top w:val="none" w:sz="0" w:space="0" w:color="auto"/>
            <w:left w:val="none" w:sz="0" w:space="0" w:color="auto"/>
            <w:bottom w:val="none" w:sz="0" w:space="0" w:color="auto"/>
            <w:right w:val="none" w:sz="0" w:space="0" w:color="auto"/>
          </w:divBdr>
          <w:divsChild>
            <w:div w:id="620379899">
              <w:marLeft w:val="0"/>
              <w:marRight w:val="0"/>
              <w:marTop w:val="0"/>
              <w:marBottom w:val="0"/>
              <w:divBdr>
                <w:top w:val="none" w:sz="0" w:space="0" w:color="auto"/>
                <w:left w:val="none" w:sz="0" w:space="0" w:color="auto"/>
                <w:bottom w:val="none" w:sz="0" w:space="0" w:color="auto"/>
                <w:right w:val="none" w:sz="0" w:space="0" w:color="auto"/>
              </w:divBdr>
              <w:divsChild>
                <w:div w:id="2100368143">
                  <w:marLeft w:val="0"/>
                  <w:marRight w:val="0"/>
                  <w:marTop w:val="0"/>
                  <w:marBottom w:val="0"/>
                  <w:divBdr>
                    <w:top w:val="none" w:sz="0" w:space="0" w:color="auto"/>
                    <w:left w:val="none" w:sz="0" w:space="0" w:color="auto"/>
                    <w:bottom w:val="none" w:sz="0" w:space="0" w:color="auto"/>
                    <w:right w:val="none" w:sz="0" w:space="0" w:color="auto"/>
                  </w:divBdr>
                  <w:divsChild>
                    <w:div w:id="291329787">
                      <w:marLeft w:val="0"/>
                      <w:marRight w:val="0"/>
                      <w:marTop w:val="0"/>
                      <w:marBottom w:val="0"/>
                      <w:divBdr>
                        <w:top w:val="none" w:sz="0" w:space="0" w:color="auto"/>
                        <w:left w:val="none" w:sz="0" w:space="0" w:color="auto"/>
                        <w:bottom w:val="none" w:sz="0" w:space="0" w:color="auto"/>
                        <w:right w:val="none" w:sz="0" w:space="0" w:color="auto"/>
                      </w:divBdr>
                      <w:divsChild>
                        <w:div w:id="1874884196">
                          <w:marLeft w:val="0"/>
                          <w:marRight w:val="0"/>
                          <w:marTop w:val="0"/>
                          <w:marBottom w:val="0"/>
                          <w:divBdr>
                            <w:top w:val="none" w:sz="0" w:space="0" w:color="auto"/>
                            <w:left w:val="none" w:sz="0" w:space="0" w:color="auto"/>
                            <w:bottom w:val="none" w:sz="0" w:space="0" w:color="auto"/>
                            <w:right w:val="none" w:sz="0" w:space="0" w:color="auto"/>
                          </w:divBdr>
                          <w:divsChild>
                            <w:div w:id="602962018">
                              <w:marLeft w:val="0"/>
                              <w:marRight w:val="0"/>
                              <w:marTop w:val="0"/>
                              <w:marBottom w:val="0"/>
                              <w:divBdr>
                                <w:top w:val="none" w:sz="0" w:space="0" w:color="auto"/>
                                <w:left w:val="none" w:sz="0" w:space="0" w:color="auto"/>
                                <w:bottom w:val="none" w:sz="0" w:space="0" w:color="auto"/>
                                <w:right w:val="none" w:sz="0" w:space="0" w:color="auto"/>
                              </w:divBdr>
                              <w:divsChild>
                                <w:div w:id="1373379847">
                                  <w:marLeft w:val="0"/>
                                  <w:marRight w:val="0"/>
                                  <w:marTop w:val="0"/>
                                  <w:marBottom w:val="0"/>
                                  <w:divBdr>
                                    <w:top w:val="none" w:sz="0" w:space="0" w:color="auto"/>
                                    <w:left w:val="none" w:sz="0" w:space="0" w:color="auto"/>
                                    <w:bottom w:val="none" w:sz="0" w:space="0" w:color="auto"/>
                                    <w:right w:val="none" w:sz="0" w:space="0" w:color="auto"/>
                                  </w:divBdr>
                                  <w:divsChild>
                                    <w:div w:id="1318000994">
                                      <w:marLeft w:val="0"/>
                                      <w:marRight w:val="0"/>
                                      <w:marTop w:val="0"/>
                                      <w:marBottom w:val="0"/>
                                      <w:divBdr>
                                        <w:top w:val="none" w:sz="0" w:space="0" w:color="auto"/>
                                        <w:left w:val="none" w:sz="0" w:space="0" w:color="auto"/>
                                        <w:bottom w:val="none" w:sz="0" w:space="0" w:color="auto"/>
                                        <w:right w:val="none" w:sz="0" w:space="0" w:color="auto"/>
                                      </w:divBdr>
                                      <w:divsChild>
                                        <w:div w:id="602036239">
                                          <w:marLeft w:val="0"/>
                                          <w:marRight w:val="0"/>
                                          <w:marTop w:val="0"/>
                                          <w:marBottom w:val="0"/>
                                          <w:divBdr>
                                            <w:top w:val="none" w:sz="0" w:space="0" w:color="auto"/>
                                            <w:left w:val="single" w:sz="6" w:space="0" w:color="999999"/>
                                            <w:bottom w:val="none" w:sz="0" w:space="0" w:color="auto"/>
                                            <w:right w:val="none" w:sz="0" w:space="0" w:color="auto"/>
                                          </w:divBdr>
                                          <w:divsChild>
                                            <w:div w:id="912352581">
                                              <w:marLeft w:val="0"/>
                                              <w:marRight w:val="0"/>
                                              <w:marTop w:val="150"/>
                                              <w:marBottom w:val="150"/>
                                              <w:divBdr>
                                                <w:top w:val="none" w:sz="0" w:space="0" w:color="auto"/>
                                                <w:left w:val="none" w:sz="0" w:space="0" w:color="auto"/>
                                                <w:bottom w:val="none" w:sz="0" w:space="0" w:color="auto"/>
                                                <w:right w:val="none" w:sz="0" w:space="0" w:color="auto"/>
                                              </w:divBdr>
                                              <w:divsChild>
                                                <w:div w:id="645934348">
                                                  <w:marLeft w:val="0"/>
                                                  <w:marRight w:val="0"/>
                                                  <w:marTop w:val="0"/>
                                                  <w:marBottom w:val="0"/>
                                                  <w:divBdr>
                                                    <w:top w:val="none" w:sz="0" w:space="0" w:color="auto"/>
                                                    <w:left w:val="none" w:sz="0" w:space="0" w:color="auto"/>
                                                    <w:bottom w:val="none" w:sz="0" w:space="0" w:color="auto"/>
                                                    <w:right w:val="none" w:sz="0" w:space="0" w:color="auto"/>
                                                  </w:divBdr>
                                                  <w:divsChild>
                                                    <w:div w:id="17163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894471">
      <w:bodyDiv w:val="1"/>
      <w:marLeft w:val="0"/>
      <w:marRight w:val="0"/>
      <w:marTop w:val="0"/>
      <w:marBottom w:val="0"/>
      <w:divBdr>
        <w:top w:val="none" w:sz="0" w:space="0" w:color="auto"/>
        <w:left w:val="none" w:sz="0" w:space="0" w:color="auto"/>
        <w:bottom w:val="none" w:sz="0" w:space="0" w:color="auto"/>
        <w:right w:val="none" w:sz="0" w:space="0" w:color="auto"/>
      </w:divBdr>
      <w:divsChild>
        <w:div w:id="152919792">
          <w:marLeft w:val="0"/>
          <w:marRight w:val="0"/>
          <w:marTop w:val="0"/>
          <w:marBottom w:val="0"/>
          <w:divBdr>
            <w:top w:val="none" w:sz="0" w:space="0" w:color="auto"/>
            <w:left w:val="none" w:sz="0" w:space="0" w:color="auto"/>
            <w:bottom w:val="none" w:sz="0" w:space="0" w:color="auto"/>
            <w:right w:val="none" w:sz="0" w:space="0" w:color="auto"/>
          </w:divBdr>
          <w:divsChild>
            <w:div w:id="564072833">
              <w:marLeft w:val="0"/>
              <w:marRight w:val="0"/>
              <w:marTop w:val="0"/>
              <w:marBottom w:val="0"/>
              <w:divBdr>
                <w:top w:val="none" w:sz="0" w:space="0" w:color="auto"/>
                <w:left w:val="none" w:sz="0" w:space="0" w:color="auto"/>
                <w:bottom w:val="none" w:sz="0" w:space="0" w:color="auto"/>
                <w:right w:val="none" w:sz="0" w:space="0" w:color="auto"/>
              </w:divBdr>
              <w:divsChild>
                <w:div w:id="1769690923">
                  <w:marLeft w:val="0"/>
                  <w:marRight w:val="0"/>
                  <w:marTop w:val="0"/>
                  <w:marBottom w:val="0"/>
                  <w:divBdr>
                    <w:top w:val="none" w:sz="0" w:space="0" w:color="auto"/>
                    <w:left w:val="none" w:sz="0" w:space="0" w:color="auto"/>
                    <w:bottom w:val="none" w:sz="0" w:space="0" w:color="auto"/>
                    <w:right w:val="none" w:sz="0" w:space="0" w:color="auto"/>
                  </w:divBdr>
                  <w:divsChild>
                    <w:div w:id="1018969141">
                      <w:marLeft w:val="0"/>
                      <w:marRight w:val="0"/>
                      <w:marTop w:val="0"/>
                      <w:marBottom w:val="0"/>
                      <w:divBdr>
                        <w:top w:val="none" w:sz="0" w:space="0" w:color="auto"/>
                        <w:left w:val="none" w:sz="0" w:space="0" w:color="auto"/>
                        <w:bottom w:val="none" w:sz="0" w:space="0" w:color="auto"/>
                        <w:right w:val="none" w:sz="0" w:space="0" w:color="auto"/>
                      </w:divBdr>
                      <w:divsChild>
                        <w:div w:id="745691167">
                          <w:marLeft w:val="0"/>
                          <w:marRight w:val="0"/>
                          <w:marTop w:val="0"/>
                          <w:marBottom w:val="0"/>
                          <w:divBdr>
                            <w:top w:val="none" w:sz="0" w:space="0" w:color="auto"/>
                            <w:left w:val="none" w:sz="0" w:space="0" w:color="auto"/>
                            <w:bottom w:val="none" w:sz="0" w:space="0" w:color="auto"/>
                            <w:right w:val="none" w:sz="0" w:space="0" w:color="auto"/>
                          </w:divBdr>
                          <w:divsChild>
                            <w:div w:id="1623461016">
                              <w:marLeft w:val="0"/>
                              <w:marRight w:val="0"/>
                              <w:marTop w:val="0"/>
                              <w:marBottom w:val="0"/>
                              <w:divBdr>
                                <w:top w:val="none" w:sz="0" w:space="0" w:color="auto"/>
                                <w:left w:val="none" w:sz="0" w:space="0" w:color="auto"/>
                                <w:bottom w:val="none" w:sz="0" w:space="0" w:color="auto"/>
                                <w:right w:val="none" w:sz="0" w:space="0" w:color="auto"/>
                              </w:divBdr>
                              <w:divsChild>
                                <w:div w:id="355160996">
                                  <w:marLeft w:val="0"/>
                                  <w:marRight w:val="0"/>
                                  <w:marTop w:val="0"/>
                                  <w:marBottom w:val="0"/>
                                  <w:divBdr>
                                    <w:top w:val="none" w:sz="0" w:space="0" w:color="auto"/>
                                    <w:left w:val="none" w:sz="0" w:space="0" w:color="auto"/>
                                    <w:bottom w:val="none" w:sz="0" w:space="0" w:color="auto"/>
                                    <w:right w:val="none" w:sz="0" w:space="0" w:color="auto"/>
                                  </w:divBdr>
                                  <w:divsChild>
                                    <w:div w:id="1400441820">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0"/>
                                          <w:divBdr>
                                            <w:top w:val="none" w:sz="0" w:space="0" w:color="auto"/>
                                            <w:left w:val="single" w:sz="6" w:space="0" w:color="999999"/>
                                            <w:bottom w:val="none" w:sz="0" w:space="0" w:color="auto"/>
                                            <w:right w:val="none" w:sz="0" w:space="0" w:color="auto"/>
                                          </w:divBdr>
                                          <w:divsChild>
                                            <w:div w:id="35934854">
                                              <w:marLeft w:val="0"/>
                                              <w:marRight w:val="0"/>
                                              <w:marTop w:val="150"/>
                                              <w:marBottom w:val="150"/>
                                              <w:divBdr>
                                                <w:top w:val="none" w:sz="0" w:space="0" w:color="auto"/>
                                                <w:left w:val="none" w:sz="0" w:space="0" w:color="auto"/>
                                                <w:bottom w:val="none" w:sz="0" w:space="0" w:color="auto"/>
                                                <w:right w:val="none" w:sz="0" w:space="0" w:color="auto"/>
                                              </w:divBdr>
                                              <w:divsChild>
                                                <w:div w:id="1086415899">
                                                  <w:marLeft w:val="0"/>
                                                  <w:marRight w:val="0"/>
                                                  <w:marTop w:val="0"/>
                                                  <w:marBottom w:val="0"/>
                                                  <w:divBdr>
                                                    <w:top w:val="none" w:sz="0" w:space="0" w:color="auto"/>
                                                    <w:left w:val="none" w:sz="0" w:space="0" w:color="auto"/>
                                                    <w:bottom w:val="none" w:sz="0" w:space="0" w:color="auto"/>
                                                    <w:right w:val="none" w:sz="0" w:space="0" w:color="auto"/>
                                                  </w:divBdr>
                                                  <w:divsChild>
                                                    <w:div w:id="3474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43613">
      <w:bodyDiv w:val="1"/>
      <w:marLeft w:val="0"/>
      <w:marRight w:val="0"/>
      <w:marTop w:val="0"/>
      <w:marBottom w:val="0"/>
      <w:divBdr>
        <w:top w:val="none" w:sz="0" w:space="0" w:color="auto"/>
        <w:left w:val="none" w:sz="0" w:space="0" w:color="auto"/>
        <w:bottom w:val="none" w:sz="0" w:space="0" w:color="auto"/>
        <w:right w:val="none" w:sz="0" w:space="0" w:color="auto"/>
      </w:divBdr>
    </w:div>
    <w:div w:id="1554731103">
      <w:bodyDiv w:val="1"/>
      <w:marLeft w:val="0"/>
      <w:marRight w:val="0"/>
      <w:marTop w:val="0"/>
      <w:marBottom w:val="0"/>
      <w:divBdr>
        <w:top w:val="none" w:sz="0" w:space="0" w:color="auto"/>
        <w:left w:val="none" w:sz="0" w:space="0" w:color="auto"/>
        <w:bottom w:val="none" w:sz="0" w:space="0" w:color="auto"/>
        <w:right w:val="none" w:sz="0" w:space="0" w:color="auto"/>
      </w:divBdr>
      <w:divsChild>
        <w:div w:id="1573655843">
          <w:marLeft w:val="0"/>
          <w:marRight w:val="0"/>
          <w:marTop w:val="0"/>
          <w:marBottom w:val="0"/>
          <w:divBdr>
            <w:top w:val="none" w:sz="0" w:space="0" w:color="auto"/>
            <w:left w:val="none" w:sz="0" w:space="0" w:color="auto"/>
            <w:bottom w:val="none" w:sz="0" w:space="0" w:color="auto"/>
            <w:right w:val="none" w:sz="0" w:space="0" w:color="auto"/>
          </w:divBdr>
          <w:divsChild>
            <w:div w:id="1626693334">
              <w:marLeft w:val="0"/>
              <w:marRight w:val="0"/>
              <w:marTop w:val="0"/>
              <w:marBottom w:val="0"/>
              <w:divBdr>
                <w:top w:val="none" w:sz="0" w:space="0" w:color="auto"/>
                <w:left w:val="none" w:sz="0" w:space="0" w:color="auto"/>
                <w:bottom w:val="none" w:sz="0" w:space="0" w:color="auto"/>
                <w:right w:val="none" w:sz="0" w:space="0" w:color="auto"/>
              </w:divBdr>
              <w:divsChild>
                <w:div w:id="161971151">
                  <w:marLeft w:val="0"/>
                  <w:marRight w:val="0"/>
                  <w:marTop w:val="0"/>
                  <w:marBottom w:val="0"/>
                  <w:divBdr>
                    <w:top w:val="none" w:sz="0" w:space="0" w:color="auto"/>
                    <w:left w:val="none" w:sz="0" w:space="0" w:color="auto"/>
                    <w:bottom w:val="none" w:sz="0" w:space="0" w:color="auto"/>
                    <w:right w:val="none" w:sz="0" w:space="0" w:color="auto"/>
                  </w:divBdr>
                  <w:divsChild>
                    <w:div w:id="1789616419">
                      <w:marLeft w:val="0"/>
                      <w:marRight w:val="0"/>
                      <w:marTop w:val="0"/>
                      <w:marBottom w:val="0"/>
                      <w:divBdr>
                        <w:top w:val="none" w:sz="0" w:space="0" w:color="auto"/>
                        <w:left w:val="none" w:sz="0" w:space="0" w:color="auto"/>
                        <w:bottom w:val="none" w:sz="0" w:space="0" w:color="auto"/>
                        <w:right w:val="none" w:sz="0" w:space="0" w:color="auto"/>
                      </w:divBdr>
                    </w:div>
                    <w:div w:id="789786233">
                      <w:marLeft w:val="0"/>
                      <w:marRight w:val="0"/>
                      <w:marTop w:val="0"/>
                      <w:marBottom w:val="0"/>
                      <w:divBdr>
                        <w:top w:val="none" w:sz="0" w:space="0" w:color="auto"/>
                        <w:left w:val="none" w:sz="0" w:space="0" w:color="auto"/>
                        <w:bottom w:val="none" w:sz="0" w:space="0" w:color="auto"/>
                        <w:right w:val="none" w:sz="0" w:space="0" w:color="auto"/>
                      </w:divBdr>
                    </w:div>
                    <w:div w:id="14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40049">
      <w:bodyDiv w:val="1"/>
      <w:marLeft w:val="0"/>
      <w:marRight w:val="0"/>
      <w:marTop w:val="0"/>
      <w:marBottom w:val="0"/>
      <w:divBdr>
        <w:top w:val="none" w:sz="0" w:space="0" w:color="auto"/>
        <w:left w:val="none" w:sz="0" w:space="0" w:color="auto"/>
        <w:bottom w:val="none" w:sz="0" w:space="0" w:color="auto"/>
        <w:right w:val="none" w:sz="0" w:space="0" w:color="auto"/>
      </w:divBdr>
    </w:div>
    <w:div w:id="1600675516">
      <w:bodyDiv w:val="1"/>
      <w:marLeft w:val="0"/>
      <w:marRight w:val="0"/>
      <w:marTop w:val="0"/>
      <w:marBottom w:val="0"/>
      <w:divBdr>
        <w:top w:val="none" w:sz="0" w:space="0" w:color="auto"/>
        <w:left w:val="none" w:sz="0" w:space="0" w:color="auto"/>
        <w:bottom w:val="none" w:sz="0" w:space="0" w:color="auto"/>
        <w:right w:val="none" w:sz="0" w:space="0" w:color="auto"/>
      </w:divBdr>
      <w:divsChild>
        <w:div w:id="47148626">
          <w:marLeft w:val="0"/>
          <w:marRight w:val="0"/>
          <w:marTop w:val="0"/>
          <w:marBottom w:val="0"/>
          <w:divBdr>
            <w:top w:val="none" w:sz="0" w:space="0" w:color="auto"/>
            <w:left w:val="none" w:sz="0" w:space="0" w:color="auto"/>
            <w:bottom w:val="none" w:sz="0" w:space="0" w:color="auto"/>
            <w:right w:val="none" w:sz="0" w:space="0" w:color="auto"/>
          </w:divBdr>
          <w:divsChild>
            <w:div w:id="634993922">
              <w:marLeft w:val="0"/>
              <w:marRight w:val="0"/>
              <w:marTop w:val="0"/>
              <w:marBottom w:val="0"/>
              <w:divBdr>
                <w:top w:val="none" w:sz="0" w:space="0" w:color="auto"/>
                <w:left w:val="none" w:sz="0" w:space="0" w:color="auto"/>
                <w:bottom w:val="none" w:sz="0" w:space="0" w:color="auto"/>
                <w:right w:val="none" w:sz="0" w:space="0" w:color="auto"/>
              </w:divBdr>
              <w:divsChild>
                <w:div w:id="1874338526">
                  <w:marLeft w:val="0"/>
                  <w:marRight w:val="0"/>
                  <w:marTop w:val="0"/>
                  <w:marBottom w:val="0"/>
                  <w:divBdr>
                    <w:top w:val="none" w:sz="0" w:space="0" w:color="auto"/>
                    <w:left w:val="none" w:sz="0" w:space="0" w:color="auto"/>
                    <w:bottom w:val="none" w:sz="0" w:space="0" w:color="auto"/>
                    <w:right w:val="none" w:sz="0" w:space="0" w:color="auto"/>
                  </w:divBdr>
                  <w:divsChild>
                    <w:div w:id="2112624347">
                      <w:marLeft w:val="0"/>
                      <w:marRight w:val="0"/>
                      <w:marTop w:val="0"/>
                      <w:marBottom w:val="0"/>
                      <w:divBdr>
                        <w:top w:val="none" w:sz="0" w:space="0" w:color="auto"/>
                        <w:left w:val="none" w:sz="0" w:space="0" w:color="auto"/>
                        <w:bottom w:val="none" w:sz="0" w:space="0" w:color="auto"/>
                        <w:right w:val="none" w:sz="0" w:space="0" w:color="auto"/>
                      </w:divBdr>
                      <w:divsChild>
                        <w:div w:id="896820518">
                          <w:marLeft w:val="0"/>
                          <w:marRight w:val="0"/>
                          <w:marTop w:val="0"/>
                          <w:marBottom w:val="0"/>
                          <w:divBdr>
                            <w:top w:val="none" w:sz="0" w:space="0" w:color="auto"/>
                            <w:left w:val="none" w:sz="0" w:space="0" w:color="auto"/>
                            <w:bottom w:val="none" w:sz="0" w:space="0" w:color="auto"/>
                            <w:right w:val="none" w:sz="0" w:space="0" w:color="auto"/>
                          </w:divBdr>
                          <w:divsChild>
                            <w:div w:id="68315158">
                              <w:marLeft w:val="0"/>
                              <w:marRight w:val="0"/>
                              <w:marTop w:val="0"/>
                              <w:marBottom w:val="0"/>
                              <w:divBdr>
                                <w:top w:val="none" w:sz="0" w:space="0" w:color="auto"/>
                                <w:left w:val="none" w:sz="0" w:space="0" w:color="auto"/>
                                <w:bottom w:val="none" w:sz="0" w:space="0" w:color="auto"/>
                                <w:right w:val="none" w:sz="0" w:space="0" w:color="auto"/>
                              </w:divBdr>
                              <w:divsChild>
                                <w:div w:id="1911308102">
                                  <w:marLeft w:val="0"/>
                                  <w:marRight w:val="0"/>
                                  <w:marTop w:val="0"/>
                                  <w:marBottom w:val="0"/>
                                  <w:divBdr>
                                    <w:top w:val="none" w:sz="0" w:space="0" w:color="auto"/>
                                    <w:left w:val="none" w:sz="0" w:space="0" w:color="auto"/>
                                    <w:bottom w:val="none" w:sz="0" w:space="0" w:color="auto"/>
                                    <w:right w:val="none" w:sz="0" w:space="0" w:color="auto"/>
                                  </w:divBdr>
                                  <w:divsChild>
                                    <w:div w:id="1132559775">
                                      <w:marLeft w:val="0"/>
                                      <w:marRight w:val="0"/>
                                      <w:marTop w:val="0"/>
                                      <w:marBottom w:val="0"/>
                                      <w:divBdr>
                                        <w:top w:val="none" w:sz="0" w:space="0" w:color="auto"/>
                                        <w:left w:val="none" w:sz="0" w:space="0" w:color="auto"/>
                                        <w:bottom w:val="none" w:sz="0" w:space="0" w:color="auto"/>
                                        <w:right w:val="none" w:sz="0" w:space="0" w:color="auto"/>
                                      </w:divBdr>
                                      <w:divsChild>
                                        <w:div w:id="397553065">
                                          <w:marLeft w:val="0"/>
                                          <w:marRight w:val="0"/>
                                          <w:marTop w:val="0"/>
                                          <w:marBottom w:val="0"/>
                                          <w:divBdr>
                                            <w:top w:val="none" w:sz="0" w:space="0" w:color="auto"/>
                                            <w:left w:val="single" w:sz="6" w:space="0" w:color="999999"/>
                                            <w:bottom w:val="none" w:sz="0" w:space="0" w:color="auto"/>
                                            <w:right w:val="none" w:sz="0" w:space="0" w:color="auto"/>
                                          </w:divBdr>
                                          <w:divsChild>
                                            <w:div w:id="1334258661">
                                              <w:marLeft w:val="0"/>
                                              <w:marRight w:val="0"/>
                                              <w:marTop w:val="150"/>
                                              <w:marBottom w:val="150"/>
                                              <w:divBdr>
                                                <w:top w:val="none" w:sz="0" w:space="0" w:color="auto"/>
                                                <w:left w:val="none" w:sz="0" w:space="0" w:color="auto"/>
                                                <w:bottom w:val="none" w:sz="0" w:space="0" w:color="auto"/>
                                                <w:right w:val="none" w:sz="0" w:space="0" w:color="auto"/>
                                              </w:divBdr>
                                              <w:divsChild>
                                                <w:div w:id="1623535968">
                                                  <w:marLeft w:val="0"/>
                                                  <w:marRight w:val="0"/>
                                                  <w:marTop w:val="0"/>
                                                  <w:marBottom w:val="0"/>
                                                  <w:divBdr>
                                                    <w:top w:val="none" w:sz="0" w:space="0" w:color="auto"/>
                                                    <w:left w:val="none" w:sz="0" w:space="0" w:color="auto"/>
                                                    <w:bottom w:val="none" w:sz="0" w:space="0" w:color="auto"/>
                                                    <w:right w:val="none" w:sz="0" w:space="0" w:color="auto"/>
                                                  </w:divBdr>
                                                  <w:divsChild>
                                                    <w:div w:id="12042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648156">
      <w:bodyDiv w:val="1"/>
      <w:marLeft w:val="0"/>
      <w:marRight w:val="0"/>
      <w:marTop w:val="0"/>
      <w:marBottom w:val="0"/>
      <w:divBdr>
        <w:top w:val="none" w:sz="0" w:space="0" w:color="auto"/>
        <w:left w:val="none" w:sz="0" w:space="0" w:color="auto"/>
        <w:bottom w:val="none" w:sz="0" w:space="0" w:color="auto"/>
        <w:right w:val="none" w:sz="0" w:space="0" w:color="auto"/>
      </w:divBdr>
    </w:div>
    <w:div w:id="1745642934">
      <w:bodyDiv w:val="1"/>
      <w:marLeft w:val="0"/>
      <w:marRight w:val="0"/>
      <w:marTop w:val="0"/>
      <w:marBottom w:val="0"/>
      <w:divBdr>
        <w:top w:val="none" w:sz="0" w:space="0" w:color="auto"/>
        <w:left w:val="none" w:sz="0" w:space="0" w:color="auto"/>
        <w:bottom w:val="none" w:sz="0" w:space="0" w:color="auto"/>
        <w:right w:val="none" w:sz="0" w:space="0" w:color="auto"/>
      </w:divBdr>
    </w:div>
    <w:div w:id="1750467572">
      <w:bodyDiv w:val="1"/>
      <w:marLeft w:val="0"/>
      <w:marRight w:val="0"/>
      <w:marTop w:val="0"/>
      <w:marBottom w:val="0"/>
      <w:divBdr>
        <w:top w:val="none" w:sz="0" w:space="0" w:color="auto"/>
        <w:left w:val="none" w:sz="0" w:space="0" w:color="auto"/>
        <w:bottom w:val="none" w:sz="0" w:space="0" w:color="auto"/>
        <w:right w:val="none" w:sz="0" w:space="0" w:color="auto"/>
      </w:divBdr>
      <w:divsChild>
        <w:div w:id="563637989">
          <w:marLeft w:val="0"/>
          <w:marRight w:val="0"/>
          <w:marTop w:val="0"/>
          <w:marBottom w:val="0"/>
          <w:divBdr>
            <w:top w:val="none" w:sz="0" w:space="0" w:color="auto"/>
            <w:left w:val="none" w:sz="0" w:space="0" w:color="auto"/>
            <w:bottom w:val="none" w:sz="0" w:space="0" w:color="auto"/>
            <w:right w:val="none" w:sz="0" w:space="0" w:color="auto"/>
          </w:divBdr>
          <w:divsChild>
            <w:div w:id="896938388">
              <w:marLeft w:val="0"/>
              <w:marRight w:val="0"/>
              <w:marTop w:val="0"/>
              <w:marBottom w:val="0"/>
              <w:divBdr>
                <w:top w:val="none" w:sz="0" w:space="0" w:color="auto"/>
                <w:left w:val="none" w:sz="0" w:space="0" w:color="auto"/>
                <w:bottom w:val="none" w:sz="0" w:space="0" w:color="auto"/>
                <w:right w:val="none" w:sz="0" w:space="0" w:color="auto"/>
              </w:divBdr>
              <w:divsChild>
                <w:div w:id="1636986268">
                  <w:marLeft w:val="0"/>
                  <w:marRight w:val="0"/>
                  <w:marTop w:val="0"/>
                  <w:marBottom w:val="0"/>
                  <w:divBdr>
                    <w:top w:val="none" w:sz="0" w:space="0" w:color="auto"/>
                    <w:left w:val="none" w:sz="0" w:space="0" w:color="auto"/>
                    <w:bottom w:val="none" w:sz="0" w:space="0" w:color="auto"/>
                    <w:right w:val="none" w:sz="0" w:space="0" w:color="auto"/>
                  </w:divBdr>
                  <w:divsChild>
                    <w:div w:id="1238320979">
                      <w:marLeft w:val="0"/>
                      <w:marRight w:val="0"/>
                      <w:marTop w:val="0"/>
                      <w:marBottom w:val="0"/>
                      <w:divBdr>
                        <w:top w:val="none" w:sz="0" w:space="0" w:color="auto"/>
                        <w:left w:val="none" w:sz="0" w:space="0" w:color="auto"/>
                        <w:bottom w:val="none" w:sz="0" w:space="0" w:color="auto"/>
                        <w:right w:val="none" w:sz="0" w:space="0" w:color="auto"/>
                      </w:divBdr>
                      <w:divsChild>
                        <w:div w:id="1836408550">
                          <w:marLeft w:val="0"/>
                          <w:marRight w:val="0"/>
                          <w:marTop w:val="0"/>
                          <w:marBottom w:val="0"/>
                          <w:divBdr>
                            <w:top w:val="none" w:sz="0" w:space="0" w:color="auto"/>
                            <w:left w:val="none" w:sz="0" w:space="0" w:color="auto"/>
                            <w:bottom w:val="none" w:sz="0" w:space="0" w:color="auto"/>
                            <w:right w:val="none" w:sz="0" w:space="0" w:color="auto"/>
                          </w:divBdr>
                          <w:divsChild>
                            <w:div w:id="808278445">
                              <w:marLeft w:val="0"/>
                              <w:marRight w:val="0"/>
                              <w:marTop w:val="0"/>
                              <w:marBottom w:val="0"/>
                              <w:divBdr>
                                <w:top w:val="none" w:sz="0" w:space="0" w:color="auto"/>
                                <w:left w:val="none" w:sz="0" w:space="0" w:color="auto"/>
                                <w:bottom w:val="none" w:sz="0" w:space="0" w:color="auto"/>
                                <w:right w:val="none" w:sz="0" w:space="0" w:color="auto"/>
                              </w:divBdr>
                              <w:divsChild>
                                <w:div w:id="449861162">
                                  <w:marLeft w:val="0"/>
                                  <w:marRight w:val="0"/>
                                  <w:marTop w:val="0"/>
                                  <w:marBottom w:val="0"/>
                                  <w:divBdr>
                                    <w:top w:val="none" w:sz="0" w:space="0" w:color="auto"/>
                                    <w:left w:val="none" w:sz="0" w:space="0" w:color="auto"/>
                                    <w:bottom w:val="none" w:sz="0" w:space="0" w:color="auto"/>
                                    <w:right w:val="none" w:sz="0" w:space="0" w:color="auto"/>
                                  </w:divBdr>
                                  <w:divsChild>
                                    <w:div w:id="1277761788">
                                      <w:marLeft w:val="0"/>
                                      <w:marRight w:val="0"/>
                                      <w:marTop w:val="0"/>
                                      <w:marBottom w:val="0"/>
                                      <w:divBdr>
                                        <w:top w:val="none" w:sz="0" w:space="0" w:color="auto"/>
                                        <w:left w:val="none" w:sz="0" w:space="0" w:color="auto"/>
                                        <w:bottom w:val="none" w:sz="0" w:space="0" w:color="auto"/>
                                        <w:right w:val="none" w:sz="0" w:space="0" w:color="auto"/>
                                      </w:divBdr>
                                      <w:divsChild>
                                        <w:div w:id="995962765">
                                          <w:marLeft w:val="0"/>
                                          <w:marRight w:val="0"/>
                                          <w:marTop w:val="0"/>
                                          <w:marBottom w:val="0"/>
                                          <w:divBdr>
                                            <w:top w:val="none" w:sz="0" w:space="0" w:color="auto"/>
                                            <w:left w:val="single" w:sz="6" w:space="0" w:color="999999"/>
                                            <w:bottom w:val="none" w:sz="0" w:space="0" w:color="auto"/>
                                            <w:right w:val="none" w:sz="0" w:space="0" w:color="auto"/>
                                          </w:divBdr>
                                          <w:divsChild>
                                            <w:div w:id="276835122">
                                              <w:marLeft w:val="0"/>
                                              <w:marRight w:val="0"/>
                                              <w:marTop w:val="150"/>
                                              <w:marBottom w:val="150"/>
                                              <w:divBdr>
                                                <w:top w:val="none" w:sz="0" w:space="0" w:color="auto"/>
                                                <w:left w:val="none" w:sz="0" w:space="0" w:color="auto"/>
                                                <w:bottom w:val="none" w:sz="0" w:space="0" w:color="auto"/>
                                                <w:right w:val="none" w:sz="0" w:space="0" w:color="auto"/>
                                              </w:divBdr>
                                              <w:divsChild>
                                                <w:div w:id="353507750">
                                                  <w:marLeft w:val="0"/>
                                                  <w:marRight w:val="0"/>
                                                  <w:marTop w:val="0"/>
                                                  <w:marBottom w:val="0"/>
                                                  <w:divBdr>
                                                    <w:top w:val="none" w:sz="0" w:space="0" w:color="auto"/>
                                                    <w:left w:val="none" w:sz="0" w:space="0" w:color="auto"/>
                                                    <w:bottom w:val="none" w:sz="0" w:space="0" w:color="auto"/>
                                                    <w:right w:val="none" w:sz="0" w:space="0" w:color="auto"/>
                                                  </w:divBdr>
                                                  <w:divsChild>
                                                    <w:div w:id="2116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624774">
      <w:bodyDiv w:val="1"/>
      <w:marLeft w:val="0"/>
      <w:marRight w:val="0"/>
      <w:marTop w:val="0"/>
      <w:marBottom w:val="0"/>
      <w:divBdr>
        <w:top w:val="none" w:sz="0" w:space="0" w:color="auto"/>
        <w:left w:val="none" w:sz="0" w:space="0" w:color="auto"/>
        <w:bottom w:val="none" w:sz="0" w:space="0" w:color="auto"/>
        <w:right w:val="none" w:sz="0" w:space="0" w:color="auto"/>
      </w:divBdr>
      <w:divsChild>
        <w:div w:id="938483393">
          <w:marLeft w:val="0"/>
          <w:marRight w:val="0"/>
          <w:marTop w:val="0"/>
          <w:marBottom w:val="0"/>
          <w:divBdr>
            <w:top w:val="none" w:sz="0" w:space="0" w:color="auto"/>
            <w:left w:val="none" w:sz="0" w:space="0" w:color="auto"/>
            <w:bottom w:val="none" w:sz="0" w:space="0" w:color="auto"/>
            <w:right w:val="none" w:sz="0" w:space="0" w:color="auto"/>
          </w:divBdr>
          <w:divsChild>
            <w:div w:id="102310726">
              <w:marLeft w:val="0"/>
              <w:marRight w:val="0"/>
              <w:marTop w:val="0"/>
              <w:marBottom w:val="0"/>
              <w:divBdr>
                <w:top w:val="none" w:sz="0" w:space="0" w:color="auto"/>
                <w:left w:val="none" w:sz="0" w:space="0" w:color="auto"/>
                <w:bottom w:val="none" w:sz="0" w:space="0" w:color="auto"/>
                <w:right w:val="none" w:sz="0" w:space="0" w:color="auto"/>
              </w:divBdr>
              <w:divsChild>
                <w:div w:id="1844541682">
                  <w:marLeft w:val="0"/>
                  <w:marRight w:val="0"/>
                  <w:marTop w:val="0"/>
                  <w:marBottom w:val="0"/>
                  <w:divBdr>
                    <w:top w:val="none" w:sz="0" w:space="0" w:color="auto"/>
                    <w:left w:val="none" w:sz="0" w:space="0" w:color="auto"/>
                    <w:bottom w:val="none" w:sz="0" w:space="0" w:color="auto"/>
                    <w:right w:val="none" w:sz="0" w:space="0" w:color="auto"/>
                  </w:divBdr>
                  <w:divsChild>
                    <w:div w:id="16784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80764">
      <w:bodyDiv w:val="1"/>
      <w:marLeft w:val="0"/>
      <w:marRight w:val="0"/>
      <w:marTop w:val="0"/>
      <w:marBottom w:val="0"/>
      <w:divBdr>
        <w:top w:val="none" w:sz="0" w:space="0" w:color="auto"/>
        <w:left w:val="none" w:sz="0" w:space="0" w:color="auto"/>
        <w:bottom w:val="none" w:sz="0" w:space="0" w:color="auto"/>
        <w:right w:val="none" w:sz="0" w:space="0" w:color="auto"/>
      </w:divBdr>
    </w:div>
    <w:div w:id="1965309866">
      <w:bodyDiv w:val="1"/>
      <w:marLeft w:val="0"/>
      <w:marRight w:val="0"/>
      <w:marTop w:val="0"/>
      <w:marBottom w:val="0"/>
      <w:divBdr>
        <w:top w:val="none" w:sz="0" w:space="0" w:color="auto"/>
        <w:left w:val="none" w:sz="0" w:space="0" w:color="auto"/>
        <w:bottom w:val="none" w:sz="0" w:space="0" w:color="auto"/>
        <w:right w:val="none" w:sz="0" w:space="0" w:color="auto"/>
      </w:divBdr>
    </w:div>
    <w:div w:id="1967806960">
      <w:bodyDiv w:val="1"/>
      <w:marLeft w:val="0"/>
      <w:marRight w:val="0"/>
      <w:marTop w:val="0"/>
      <w:marBottom w:val="0"/>
      <w:divBdr>
        <w:top w:val="none" w:sz="0" w:space="0" w:color="auto"/>
        <w:left w:val="none" w:sz="0" w:space="0" w:color="auto"/>
        <w:bottom w:val="none" w:sz="0" w:space="0" w:color="auto"/>
        <w:right w:val="none" w:sz="0" w:space="0" w:color="auto"/>
      </w:divBdr>
    </w:div>
    <w:div w:id="2004117853">
      <w:bodyDiv w:val="1"/>
      <w:marLeft w:val="0"/>
      <w:marRight w:val="0"/>
      <w:marTop w:val="0"/>
      <w:marBottom w:val="0"/>
      <w:divBdr>
        <w:top w:val="none" w:sz="0" w:space="0" w:color="auto"/>
        <w:left w:val="none" w:sz="0" w:space="0" w:color="auto"/>
        <w:bottom w:val="none" w:sz="0" w:space="0" w:color="auto"/>
        <w:right w:val="none" w:sz="0" w:space="0" w:color="auto"/>
      </w:divBdr>
      <w:divsChild>
        <w:div w:id="611591607">
          <w:marLeft w:val="0"/>
          <w:marRight w:val="0"/>
          <w:marTop w:val="0"/>
          <w:marBottom w:val="0"/>
          <w:divBdr>
            <w:top w:val="none" w:sz="0" w:space="0" w:color="auto"/>
            <w:left w:val="none" w:sz="0" w:space="0" w:color="auto"/>
            <w:bottom w:val="none" w:sz="0" w:space="0" w:color="auto"/>
            <w:right w:val="none" w:sz="0" w:space="0" w:color="auto"/>
          </w:divBdr>
          <w:divsChild>
            <w:div w:id="2024897399">
              <w:marLeft w:val="0"/>
              <w:marRight w:val="0"/>
              <w:marTop w:val="0"/>
              <w:marBottom w:val="0"/>
              <w:divBdr>
                <w:top w:val="none" w:sz="0" w:space="0" w:color="auto"/>
                <w:left w:val="none" w:sz="0" w:space="0" w:color="auto"/>
                <w:bottom w:val="none" w:sz="0" w:space="0" w:color="auto"/>
                <w:right w:val="none" w:sz="0" w:space="0" w:color="auto"/>
              </w:divBdr>
              <w:divsChild>
                <w:div w:id="18434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127">
      <w:bodyDiv w:val="1"/>
      <w:marLeft w:val="0"/>
      <w:marRight w:val="0"/>
      <w:marTop w:val="0"/>
      <w:marBottom w:val="0"/>
      <w:divBdr>
        <w:top w:val="none" w:sz="0" w:space="0" w:color="auto"/>
        <w:left w:val="none" w:sz="0" w:space="0" w:color="auto"/>
        <w:bottom w:val="none" w:sz="0" w:space="0" w:color="auto"/>
        <w:right w:val="none" w:sz="0" w:space="0" w:color="auto"/>
      </w:divBdr>
      <w:divsChild>
        <w:div w:id="1577278654">
          <w:marLeft w:val="0"/>
          <w:marRight w:val="0"/>
          <w:marTop w:val="0"/>
          <w:marBottom w:val="0"/>
          <w:divBdr>
            <w:top w:val="none" w:sz="0" w:space="0" w:color="auto"/>
            <w:left w:val="none" w:sz="0" w:space="0" w:color="auto"/>
            <w:bottom w:val="none" w:sz="0" w:space="0" w:color="auto"/>
            <w:right w:val="none" w:sz="0" w:space="0" w:color="auto"/>
          </w:divBdr>
          <w:divsChild>
            <w:div w:id="985669393">
              <w:marLeft w:val="0"/>
              <w:marRight w:val="0"/>
              <w:marTop w:val="0"/>
              <w:marBottom w:val="0"/>
              <w:divBdr>
                <w:top w:val="none" w:sz="0" w:space="0" w:color="auto"/>
                <w:left w:val="none" w:sz="0" w:space="0" w:color="auto"/>
                <w:bottom w:val="none" w:sz="0" w:space="0" w:color="auto"/>
                <w:right w:val="none" w:sz="0" w:space="0" w:color="auto"/>
              </w:divBdr>
              <w:divsChild>
                <w:div w:id="1325815188">
                  <w:marLeft w:val="0"/>
                  <w:marRight w:val="0"/>
                  <w:marTop w:val="0"/>
                  <w:marBottom w:val="0"/>
                  <w:divBdr>
                    <w:top w:val="none" w:sz="0" w:space="0" w:color="auto"/>
                    <w:left w:val="none" w:sz="0" w:space="0" w:color="auto"/>
                    <w:bottom w:val="none" w:sz="0" w:space="0" w:color="auto"/>
                    <w:right w:val="none" w:sz="0" w:space="0" w:color="auto"/>
                  </w:divBdr>
                  <w:divsChild>
                    <w:div w:id="631711525">
                      <w:marLeft w:val="0"/>
                      <w:marRight w:val="0"/>
                      <w:marTop w:val="0"/>
                      <w:marBottom w:val="0"/>
                      <w:divBdr>
                        <w:top w:val="none" w:sz="0" w:space="0" w:color="auto"/>
                        <w:left w:val="none" w:sz="0" w:space="0" w:color="auto"/>
                        <w:bottom w:val="none" w:sz="0" w:space="0" w:color="auto"/>
                        <w:right w:val="none" w:sz="0" w:space="0" w:color="auto"/>
                      </w:divBdr>
                      <w:divsChild>
                        <w:div w:id="878199900">
                          <w:marLeft w:val="0"/>
                          <w:marRight w:val="0"/>
                          <w:marTop w:val="0"/>
                          <w:marBottom w:val="0"/>
                          <w:divBdr>
                            <w:top w:val="none" w:sz="0" w:space="0" w:color="auto"/>
                            <w:left w:val="none" w:sz="0" w:space="0" w:color="auto"/>
                            <w:bottom w:val="none" w:sz="0" w:space="0" w:color="auto"/>
                            <w:right w:val="none" w:sz="0" w:space="0" w:color="auto"/>
                          </w:divBdr>
                          <w:divsChild>
                            <w:div w:id="1861235887">
                              <w:marLeft w:val="0"/>
                              <w:marRight w:val="0"/>
                              <w:marTop w:val="0"/>
                              <w:marBottom w:val="0"/>
                              <w:divBdr>
                                <w:top w:val="none" w:sz="0" w:space="0" w:color="auto"/>
                                <w:left w:val="none" w:sz="0" w:space="0" w:color="auto"/>
                                <w:bottom w:val="none" w:sz="0" w:space="0" w:color="auto"/>
                                <w:right w:val="none" w:sz="0" w:space="0" w:color="auto"/>
                              </w:divBdr>
                              <w:divsChild>
                                <w:div w:id="1506019782">
                                  <w:marLeft w:val="0"/>
                                  <w:marRight w:val="0"/>
                                  <w:marTop w:val="0"/>
                                  <w:marBottom w:val="0"/>
                                  <w:divBdr>
                                    <w:top w:val="none" w:sz="0" w:space="0" w:color="auto"/>
                                    <w:left w:val="none" w:sz="0" w:space="0" w:color="auto"/>
                                    <w:bottom w:val="none" w:sz="0" w:space="0" w:color="auto"/>
                                    <w:right w:val="none" w:sz="0" w:space="0" w:color="auto"/>
                                  </w:divBdr>
                                  <w:divsChild>
                                    <w:div w:id="1244416144">
                                      <w:marLeft w:val="0"/>
                                      <w:marRight w:val="0"/>
                                      <w:marTop w:val="0"/>
                                      <w:marBottom w:val="0"/>
                                      <w:divBdr>
                                        <w:top w:val="none" w:sz="0" w:space="0" w:color="auto"/>
                                        <w:left w:val="none" w:sz="0" w:space="0" w:color="auto"/>
                                        <w:bottom w:val="none" w:sz="0" w:space="0" w:color="auto"/>
                                        <w:right w:val="none" w:sz="0" w:space="0" w:color="auto"/>
                                      </w:divBdr>
                                      <w:divsChild>
                                        <w:div w:id="2140608379">
                                          <w:marLeft w:val="0"/>
                                          <w:marRight w:val="0"/>
                                          <w:marTop w:val="0"/>
                                          <w:marBottom w:val="0"/>
                                          <w:divBdr>
                                            <w:top w:val="none" w:sz="0" w:space="0" w:color="auto"/>
                                            <w:left w:val="single" w:sz="6" w:space="0" w:color="999999"/>
                                            <w:bottom w:val="none" w:sz="0" w:space="0" w:color="auto"/>
                                            <w:right w:val="none" w:sz="0" w:space="0" w:color="auto"/>
                                          </w:divBdr>
                                          <w:divsChild>
                                            <w:div w:id="385493231">
                                              <w:marLeft w:val="0"/>
                                              <w:marRight w:val="0"/>
                                              <w:marTop w:val="150"/>
                                              <w:marBottom w:val="150"/>
                                              <w:divBdr>
                                                <w:top w:val="none" w:sz="0" w:space="0" w:color="auto"/>
                                                <w:left w:val="none" w:sz="0" w:space="0" w:color="auto"/>
                                                <w:bottom w:val="none" w:sz="0" w:space="0" w:color="auto"/>
                                                <w:right w:val="none" w:sz="0" w:space="0" w:color="auto"/>
                                              </w:divBdr>
                                              <w:divsChild>
                                                <w:div w:id="964777640">
                                                  <w:marLeft w:val="0"/>
                                                  <w:marRight w:val="0"/>
                                                  <w:marTop w:val="0"/>
                                                  <w:marBottom w:val="0"/>
                                                  <w:divBdr>
                                                    <w:top w:val="none" w:sz="0" w:space="0" w:color="auto"/>
                                                    <w:left w:val="none" w:sz="0" w:space="0" w:color="auto"/>
                                                    <w:bottom w:val="none" w:sz="0" w:space="0" w:color="auto"/>
                                                    <w:right w:val="none" w:sz="0" w:space="0" w:color="auto"/>
                                                  </w:divBdr>
                                                  <w:divsChild>
                                                    <w:div w:id="16642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8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vidence.nhs.uk/formulary/bnf/current/10-musculoskeletal-and-joint-diseases/101-drugs-used-in-rheumatic-diseases-and-gout/1011-non-steroidal-anti-inflammatory-drugs/celecoxib" TargetMode="External"/><Relationship Id="rId18" Type="http://schemas.openxmlformats.org/officeDocument/2006/relationships/hyperlink" Target="https://cks.nice.org.uk/nsaids-prescribing-issu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edicines.org.uk/emc/product/3302/smpc" TargetMode="External"/><Relationship Id="rId7" Type="http://schemas.openxmlformats.org/officeDocument/2006/relationships/endnotes" Target="endnotes.xml"/><Relationship Id="rId12" Type="http://schemas.openxmlformats.org/officeDocument/2006/relationships/hyperlink" Target="https://www.evidence.nhs.uk/formulary/bnf/current/index-of-manufacturers" TargetMode="External"/><Relationship Id="rId17" Type="http://schemas.openxmlformats.org/officeDocument/2006/relationships/hyperlink" Target="https://www.evidence.nhs.uk/formulary/bnf/current/general-information-and-changes/how-to-use-the-bnf/prices-in-the-bnf" TargetMode="External"/><Relationship Id="rId25" Type="http://schemas.openxmlformats.org/officeDocument/2006/relationships/hyperlink" Target="http://www.drugtariff.nhsbsa.nhs.uk/" TargetMode="External"/><Relationship Id="rId2" Type="http://schemas.openxmlformats.org/officeDocument/2006/relationships/numbering" Target="numbering.xml"/><Relationship Id="rId16" Type="http://schemas.openxmlformats.org/officeDocument/2006/relationships/hyperlink" Target="https://www.evidence.nhs.uk/formulary/bnf/current/10-musculoskeletal-and-joint-diseases/101-drugs-used-in-rheumatic-diseases-and-gout/1011-non-steroidal-anti-inflammatory-drugs/etoricoxib" TargetMode="External"/><Relationship Id="rId20" Type="http://schemas.openxmlformats.org/officeDocument/2006/relationships/hyperlink" Target="https://www.medicines.org.uk/emc/product/5533/smp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idence.nhs.uk/formulary/bnf/current/10-musculoskeletal-and-joint-diseases/101-drugs-used-in-rheumatic-diseases-and-gout/1011-non-steroidal-anti-inflammatory-drugs/etoricoxib" TargetMode="External"/><Relationship Id="rId24" Type="http://schemas.openxmlformats.org/officeDocument/2006/relationships/hyperlink" Target="https://cks.nice.org.uk/ankylosing-spondylitis" TargetMode="External"/><Relationship Id="rId5" Type="http://schemas.openxmlformats.org/officeDocument/2006/relationships/webSettings" Target="webSettings.xml"/><Relationship Id="rId15" Type="http://schemas.openxmlformats.org/officeDocument/2006/relationships/hyperlink" Target="https://www.evidence.nhs.uk/formulary/bnf/current/10-musculoskeletal-and-joint-diseases/101-drugs-used-in-rheumatic-diseases-and-gout/1011-non-steroidal-anti-inflammatory-drugs/celecoxib" TargetMode="External"/><Relationship Id="rId23" Type="http://schemas.openxmlformats.org/officeDocument/2006/relationships/hyperlink" Target="https://cks.nice.org.uk/rheumatoid-arthritis" TargetMode="External"/><Relationship Id="rId28" Type="http://schemas.openxmlformats.org/officeDocument/2006/relationships/header" Target="header2.xml"/><Relationship Id="rId10" Type="http://schemas.openxmlformats.org/officeDocument/2006/relationships/hyperlink" Target="https://www.evidence.nhs.uk/formulary/bnf/current/10-musculoskeletal-and-joint-diseases/101-drugs-used-in-rheumatic-diseases-and-gout/1011-non-steroidal-anti-inflammatory-drugs/celecoxib" TargetMode="External"/><Relationship Id="rId19" Type="http://schemas.openxmlformats.org/officeDocument/2006/relationships/hyperlink" Target="https://cks.nice.org.uk/nsaids-prescribing-issues" TargetMode="External"/><Relationship Id="rId4" Type="http://schemas.openxmlformats.org/officeDocument/2006/relationships/settings" Target="settings.xml"/><Relationship Id="rId9" Type="http://schemas.openxmlformats.org/officeDocument/2006/relationships/hyperlink" Target="https://www.evidence.nhs.uk/formulary/bnf/current/10-musculoskeletal-and-joint-diseases/101-drugs-used-in-rheumatic-diseases-and-gout/1011-non-steroidal-anti-inflammatory-drugs/etoricoxib" TargetMode="External"/><Relationship Id="rId14" Type="http://schemas.openxmlformats.org/officeDocument/2006/relationships/hyperlink" Target="https://www.evidence.nhs.uk/formulary/bnf/current/10-musculoskeletal-and-joint-diseases/101-drugs-used-in-rheumatic-diseases-and-gout/1011-non-steroidal-anti-inflammatory-drugs/etoricoxib" TargetMode="External"/><Relationship Id="rId22" Type="http://schemas.openxmlformats.org/officeDocument/2006/relationships/hyperlink" Target="https://www.nice.org.uk/guidance/cg17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B2EA-DF5D-4284-AED4-798A6CA4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 Christina (CWS CCG)</dc:creator>
  <cp:lastModifiedBy>Watkin Sarah</cp:lastModifiedBy>
  <cp:revision>2</cp:revision>
  <cp:lastPrinted>2019-06-03T14:03:00Z</cp:lastPrinted>
  <dcterms:created xsi:type="dcterms:W3CDTF">2019-06-25T13:44:00Z</dcterms:created>
  <dcterms:modified xsi:type="dcterms:W3CDTF">2019-06-25T13:44:00Z</dcterms:modified>
</cp:coreProperties>
</file>